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6907C8">
        <w:rPr>
          <w:b/>
        </w:rPr>
        <w:t xml:space="preserve">ty for </w:t>
      </w:r>
      <w:r w:rsidR="006907C8" w:rsidRPr="006907C8">
        <w:rPr>
          <w:b/>
        </w:rPr>
        <w:t>Stickler Syndrome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6907C8">
        <w:t xml:space="preserve">  Stickler Syndrome Panel</w:t>
      </w:r>
    </w:p>
    <w:p w:rsidR="00F9401A" w:rsidRDefault="002D0B92" w:rsidP="00AB2F4A">
      <w:pPr>
        <w:pStyle w:val="NoSpacing"/>
      </w:pPr>
      <w:r w:rsidRPr="0064562A">
        <w:rPr>
          <w:b/>
        </w:rPr>
        <w:t>CPT Codes</w:t>
      </w:r>
      <w:r w:rsidR="00FB3BE6" w:rsidRPr="0064562A">
        <w:rPr>
          <w:b/>
        </w:rPr>
        <w:t>:</w:t>
      </w:r>
      <w:r w:rsidR="0064562A" w:rsidRPr="0064562A">
        <w:rPr>
          <w:b/>
        </w:rPr>
        <w:t xml:space="preserve">  </w:t>
      </w:r>
      <w:r w:rsidR="006907C8" w:rsidRPr="006907C8">
        <w:t>81479x2</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6907C8">
        <w:t>quest full coverage for the Stickler Syndrome Panel</w:t>
      </w:r>
      <w:r w:rsidR="004978D4">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6907C8" w:rsidRPr="006907C8" w:rsidRDefault="006907C8" w:rsidP="006907C8">
      <w:pPr>
        <w:pStyle w:val="NoSpacing"/>
      </w:pPr>
      <w:r w:rsidRPr="006907C8">
        <w:t xml:space="preserve">The Stickler Syndrome Panel includes germline analysis of genes causing Stickler syndrome.   Panel testing includes both sequencing and deletion/duplication analysis of multiple genes simultaneously.  </w:t>
      </w:r>
    </w:p>
    <w:p w:rsidR="006907C8" w:rsidRPr="006907C8" w:rsidRDefault="006907C8" w:rsidP="006907C8">
      <w:pPr>
        <w:pStyle w:val="NoSpacing"/>
      </w:pPr>
    </w:p>
    <w:p w:rsidR="006907C8" w:rsidRPr="006907C8" w:rsidRDefault="006907C8" w:rsidP="006907C8">
      <w:pPr>
        <w:pStyle w:val="NoSpacing"/>
        <w:rPr>
          <w:vertAlign w:val="superscript"/>
        </w:rPr>
      </w:pPr>
      <w:r w:rsidRPr="006907C8">
        <w:t>Stickler syndrome is a heritable disorder of connective tissue characterized by ocular, auditory, craniofacial, and musculoskeletal manifestations. Ocular features include high myopia, congenital vitreous anomalies, cataracts, and retinal detachment.</w:t>
      </w:r>
      <w:r w:rsidRPr="006907C8">
        <w:rPr>
          <w:vertAlign w:val="superscript"/>
        </w:rPr>
        <w:t xml:space="preserve">1,2 </w:t>
      </w:r>
      <w:r w:rsidRPr="006907C8">
        <w:t>Hearing impairment of variable severity is present in 40% of individuals with Stickler syndrome.</w:t>
      </w:r>
      <w:r w:rsidRPr="006907C8">
        <w:rPr>
          <w:vertAlign w:val="superscript"/>
        </w:rPr>
        <w:t xml:space="preserve">3 </w:t>
      </w:r>
      <w:r w:rsidRPr="006907C8">
        <w:t xml:space="preserve">Mid-facial hypoplasia, </w:t>
      </w:r>
      <w:proofErr w:type="spellStart"/>
      <w:r w:rsidRPr="006907C8">
        <w:t>micrognathia</w:t>
      </w:r>
      <w:proofErr w:type="spellEnd"/>
      <w:r w:rsidRPr="006907C8">
        <w:t>, and cleft palate may be present, and a diagnosis of Stickler syndrome is established in approximately 10-20% of individuals with Robin sequence.</w:t>
      </w:r>
      <w:r w:rsidRPr="006907C8">
        <w:rPr>
          <w:vertAlign w:val="superscript"/>
        </w:rPr>
        <w:t>4,5</w:t>
      </w:r>
      <w:r w:rsidRPr="006907C8">
        <w:t xml:space="preserve"> Skeletal involvement may manifest as early-onset osteoarthritis, </w:t>
      </w:r>
      <w:r w:rsidRPr="006907C8">
        <w:lastRenderedPageBreak/>
        <w:t xml:space="preserve">relative short stature, joint hypermobility, and scoliosis/kyphosis, and radiographic features include mild </w:t>
      </w:r>
      <w:proofErr w:type="spellStart"/>
      <w:r w:rsidRPr="006907C8">
        <w:t>spondyloepiphyseal</w:t>
      </w:r>
      <w:proofErr w:type="spellEnd"/>
      <w:r w:rsidRPr="006907C8">
        <w:t xml:space="preserve"> dysplasia and platyspondyly.</w:t>
      </w:r>
      <w:r w:rsidRPr="006907C8">
        <w:rPr>
          <w:vertAlign w:val="superscript"/>
        </w:rPr>
        <w:t>6</w:t>
      </w:r>
      <w:r w:rsidRPr="006907C8">
        <w:t xml:space="preserve"> Variable expressivity is observed both within and between families, though the ocular phenotype tends to be consistent within families.</w:t>
      </w:r>
      <w:r w:rsidRPr="006907C8">
        <w:rPr>
          <w:vertAlign w:val="superscript"/>
        </w:rPr>
        <w:t>3,7</w:t>
      </w:r>
      <w:r w:rsidRPr="006907C8">
        <w:t xml:space="preserve"> In addition, both ocular-only and non-ocular forms of Stickler syndrome are described.</w:t>
      </w:r>
      <w:r w:rsidRPr="006907C8">
        <w:rPr>
          <w:vertAlign w:val="superscript"/>
        </w:rPr>
        <w:t>2,6,8</w:t>
      </w:r>
    </w:p>
    <w:p w:rsidR="006907C8" w:rsidRPr="006907C8" w:rsidRDefault="006907C8" w:rsidP="006907C8">
      <w:pPr>
        <w:pStyle w:val="NoSpacing"/>
      </w:pPr>
    </w:p>
    <w:p w:rsidR="006907C8" w:rsidRPr="006907C8" w:rsidRDefault="006907C8" w:rsidP="006907C8">
      <w:pPr>
        <w:pStyle w:val="NoSpacing"/>
      </w:pPr>
      <w:r w:rsidRPr="006907C8">
        <w:t>Stickler syndrome is caused by pathogenic variants in genes encoding components of collagens.</w:t>
      </w:r>
      <w:r w:rsidRPr="006907C8">
        <w:rPr>
          <w:vertAlign w:val="superscript"/>
        </w:rPr>
        <w:t>6</w:t>
      </w:r>
      <w:r w:rsidRPr="006907C8">
        <w:t xml:space="preserve">  </w:t>
      </w:r>
    </w:p>
    <w:p w:rsidR="006907C8" w:rsidRPr="006907C8" w:rsidRDefault="006907C8" w:rsidP="006907C8">
      <w:pPr>
        <w:pStyle w:val="NoSpacing"/>
      </w:pPr>
      <w:r w:rsidRPr="006907C8">
        <w:t>Overlapping features and variable expressivity pose a challenge to clinical diagnosis.</w:t>
      </w:r>
      <w:r w:rsidRPr="006907C8">
        <w:rPr>
          <w:vertAlign w:val="superscript"/>
        </w:rPr>
        <w:t>1</w:t>
      </w:r>
      <w:proofErr w:type="gramStart"/>
      <w:r w:rsidRPr="006907C8">
        <w:rPr>
          <w:vertAlign w:val="superscript"/>
        </w:rPr>
        <w:t>,6</w:t>
      </w:r>
      <w:proofErr w:type="gramEnd"/>
      <w:r w:rsidRPr="006907C8">
        <w:t xml:space="preserve"> When clinical features are subtle or non-specific, which is common in children and younger adults, genetic testing aids in diagnosis, management and establishing recurrence risk for family members.  For example, genetic testing can be helpful in infants with cleft palate or Robin sequence and characteristic facial features who would not yet exhibit other clinical features that onset later in childhood or in adulthood so would not meet clinical diagnostic criteria.</w:t>
      </w:r>
      <w:r w:rsidRPr="006907C8">
        <w:rPr>
          <w:vertAlign w:val="superscript"/>
        </w:rPr>
        <w:t>6</w:t>
      </w:r>
    </w:p>
    <w:p w:rsidR="00DB3B6E" w:rsidRDefault="00DB3B6E"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DB3B6E" w:rsidRPr="006907C8" w:rsidRDefault="006907C8" w:rsidP="006907C8">
      <w:pPr>
        <w:rPr>
          <w:vertAlign w:val="superscript"/>
        </w:rPr>
      </w:pPr>
      <w:r>
        <w:t>Genetic testing to confirm the diagnosis of Stickler syndrome</w:t>
      </w:r>
      <w:r w:rsidRPr="00D84F72">
        <w:t xml:space="preserve"> can provide essential information about prognosis and can assist with decisions about treatment and management.</w:t>
      </w:r>
      <w:r>
        <w:t xml:space="preserve">  For example, individuals with Stickler syndrome should be advised of the symptoms of retinal detachment and avoid activities such as contact sports that may increase the risk for traumatic retinal detachment.</w:t>
      </w:r>
      <w:r>
        <w:rPr>
          <w:vertAlign w:val="superscript"/>
        </w:rPr>
        <w:t>6</w:t>
      </w:r>
      <w:r>
        <w:t xml:space="preserve">  Individuals with Stickler syndrome are at increased risk for mitral valve prolapse and should be screened for symptoms with referral for an echocardiogram if they are noted to have suggestive symptoms.</w:t>
      </w:r>
      <w:r>
        <w:rPr>
          <w:vertAlign w:val="superscript"/>
        </w:rPr>
        <w:t>6</w:t>
      </w:r>
      <w:r>
        <w:t xml:space="preserve">  Additionally, children with pathogenic variants in genes encoding type IX collagen may have severe congenital sensorineural hearing impairment and often develop visual impairment due to significant myopia.</w:t>
      </w:r>
      <w:r>
        <w:rPr>
          <w:vertAlign w:val="superscript"/>
        </w:rPr>
        <w:t>9</w:t>
      </w:r>
      <w:r>
        <w:t xml:space="preserve">  Early confirmation of a diagnosis of Stickler syndrome due to a type IX collagen defect can help identify children who are at-risk for dual sensory impairment, providing important information for early therapies and education.</w:t>
      </w:r>
      <w:r>
        <w:rPr>
          <w:vertAlign w:val="superscript"/>
        </w:rPr>
        <w:t>9</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AB2F4A" w:rsidP="00AB2F4A">
      <w:pPr>
        <w:pStyle w:val="NoSpacing"/>
      </w:pPr>
      <w:r w:rsidRPr="00AB2F4A">
        <w:t xml:space="preserve">The </w:t>
      </w:r>
      <w:r w:rsidR="006907C8">
        <w:t>Stickler Syndrome Panel</w:t>
      </w:r>
      <w:r w:rsidR="006907C8" w:rsidRPr="00AB2F4A">
        <w:t xml:space="preserve"> </w:t>
      </w:r>
      <w:r w:rsidRPr="00AB2F4A">
        <w:t>at GeneD</w:t>
      </w:r>
      <w:r w:rsidR="00342070">
        <w:t xml:space="preserve">x is a highly sensitive </w:t>
      </w:r>
      <w:r w:rsidRPr="00AB2F4A">
        <w:t>and cost-effective geneti</w:t>
      </w:r>
      <w:r w:rsidR="00342070">
        <w:t>c test</w:t>
      </w:r>
      <w:r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Pr="006907C8" w:rsidRDefault="00C247D1" w:rsidP="00AB2F4A">
      <w:pPr>
        <w:pStyle w:val="NoSpacing"/>
        <w:rPr>
          <w:color w:val="FF0000"/>
        </w:rPr>
      </w:pPr>
    </w:p>
    <w:p w:rsidR="00454799" w:rsidRPr="006907C8" w:rsidRDefault="00454799" w:rsidP="00454799">
      <w:r w:rsidRPr="006907C8">
        <w:t>References:</w:t>
      </w:r>
    </w:p>
    <w:p w:rsidR="006907C8" w:rsidRPr="006907C8" w:rsidRDefault="006907C8" w:rsidP="006907C8">
      <w:pPr>
        <w:pStyle w:val="ListParagraph"/>
        <w:widowControl w:val="0"/>
        <w:numPr>
          <w:ilvl w:val="0"/>
          <w:numId w:val="10"/>
        </w:numPr>
        <w:autoSpaceDE w:val="0"/>
        <w:autoSpaceDN w:val="0"/>
        <w:adjustRightInd w:val="0"/>
        <w:spacing w:after="0" w:line="240" w:lineRule="auto"/>
        <w:rPr>
          <w:sz w:val="20"/>
          <w:szCs w:val="20"/>
        </w:rPr>
      </w:pPr>
      <w:r w:rsidRPr="00DA5656">
        <w:rPr>
          <w:sz w:val="20"/>
          <w:szCs w:val="20"/>
        </w:rPr>
        <w:t>Rose et al. (2005) Stickler syndrome: clinical characteristics and diagnostic criteria. Am. J. Med. Genet. A 138A (3):199-207 (PMID: 16152640)</w:t>
      </w:r>
    </w:p>
    <w:p w:rsidR="006907C8" w:rsidRDefault="006907C8" w:rsidP="006907C8">
      <w:pPr>
        <w:pStyle w:val="ListParagraph"/>
        <w:widowControl w:val="0"/>
        <w:numPr>
          <w:ilvl w:val="0"/>
          <w:numId w:val="10"/>
        </w:numPr>
        <w:autoSpaceDE w:val="0"/>
        <w:autoSpaceDN w:val="0"/>
        <w:adjustRightInd w:val="0"/>
        <w:spacing w:after="0" w:line="240" w:lineRule="auto"/>
        <w:rPr>
          <w:sz w:val="20"/>
          <w:szCs w:val="20"/>
        </w:rPr>
      </w:pPr>
      <w:r w:rsidRPr="00DA5656">
        <w:rPr>
          <w:sz w:val="20"/>
          <w:szCs w:val="20"/>
        </w:rPr>
        <w:lastRenderedPageBreak/>
        <w:t>Snead et al. (2011) Stickler syndrome, ocular-only variants and a key diagnostic role for the ophthalmologist. Eye (</w:t>
      </w:r>
      <w:proofErr w:type="spellStart"/>
      <w:r w:rsidRPr="00DA5656">
        <w:rPr>
          <w:sz w:val="20"/>
          <w:szCs w:val="20"/>
        </w:rPr>
        <w:t>Lond</w:t>
      </w:r>
      <w:proofErr w:type="spellEnd"/>
      <w:r w:rsidRPr="00DA5656">
        <w:rPr>
          <w:sz w:val="20"/>
          <w:szCs w:val="20"/>
        </w:rPr>
        <w:t>). 25(11):1389-1400 (PMID 21921955)</w:t>
      </w:r>
    </w:p>
    <w:p w:rsidR="006907C8" w:rsidRPr="006907C8" w:rsidRDefault="006907C8" w:rsidP="006907C8">
      <w:pPr>
        <w:pStyle w:val="ListParagraph"/>
        <w:widowControl w:val="0"/>
        <w:autoSpaceDE w:val="0"/>
        <w:autoSpaceDN w:val="0"/>
        <w:adjustRightInd w:val="0"/>
        <w:spacing w:after="0" w:line="240" w:lineRule="auto"/>
        <w:rPr>
          <w:sz w:val="20"/>
          <w:szCs w:val="20"/>
        </w:rPr>
      </w:pPr>
    </w:p>
    <w:p w:rsidR="006907C8" w:rsidRDefault="006907C8" w:rsidP="006907C8">
      <w:pPr>
        <w:pStyle w:val="ListParagraph"/>
        <w:widowControl w:val="0"/>
        <w:numPr>
          <w:ilvl w:val="0"/>
          <w:numId w:val="10"/>
        </w:numPr>
        <w:autoSpaceDE w:val="0"/>
        <w:autoSpaceDN w:val="0"/>
        <w:adjustRightInd w:val="0"/>
        <w:spacing w:after="0" w:line="240" w:lineRule="auto"/>
        <w:rPr>
          <w:sz w:val="20"/>
          <w:szCs w:val="20"/>
        </w:rPr>
      </w:pPr>
      <w:r w:rsidRPr="00DA5656">
        <w:rPr>
          <w:sz w:val="20"/>
          <w:szCs w:val="20"/>
        </w:rPr>
        <w:t>Snead &amp; Yates. (1999) Clinical and Molecular genetics of Stickler syndrome. J. Med. Genet. 36:353-359. (PMID 10353778)</w:t>
      </w:r>
    </w:p>
    <w:p w:rsidR="006907C8" w:rsidRPr="006907C8" w:rsidRDefault="006907C8" w:rsidP="006907C8">
      <w:pPr>
        <w:widowControl w:val="0"/>
        <w:autoSpaceDE w:val="0"/>
        <w:autoSpaceDN w:val="0"/>
        <w:adjustRightInd w:val="0"/>
        <w:spacing w:after="0" w:line="240" w:lineRule="auto"/>
        <w:rPr>
          <w:sz w:val="20"/>
          <w:szCs w:val="20"/>
        </w:rPr>
      </w:pPr>
    </w:p>
    <w:p w:rsidR="006907C8" w:rsidRDefault="006907C8" w:rsidP="006907C8">
      <w:pPr>
        <w:pStyle w:val="ListParagraph"/>
        <w:widowControl w:val="0"/>
        <w:numPr>
          <w:ilvl w:val="0"/>
          <w:numId w:val="10"/>
        </w:numPr>
        <w:autoSpaceDE w:val="0"/>
        <w:autoSpaceDN w:val="0"/>
        <w:adjustRightInd w:val="0"/>
        <w:spacing w:after="0" w:line="240" w:lineRule="auto"/>
        <w:rPr>
          <w:sz w:val="20"/>
          <w:szCs w:val="20"/>
        </w:rPr>
      </w:pPr>
      <w:r w:rsidRPr="00DA5656">
        <w:rPr>
          <w:sz w:val="20"/>
          <w:szCs w:val="20"/>
        </w:rPr>
        <w:t xml:space="preserve">Evans et al. (2006) Robin sequence: a retrospective review of 115 patients. Int. J. </w:t>
      </w:r>
      <w:proofErr w:type="spellStart"/>
      <w:r w:rsidRPr="00DA5656">
        <w:rPr>
          <w:sz w:val="20"/>
          <w:szCs w:val="20"/>
        </w:rPr>
        <w:t>Pediatr</w:t>
      </w:r>
      <w:proofErr w:type="spellEnd"/>
      <w:r w:rsidRPr="00DA5656">
        <w:rPr>
          <w:sz w:val="20"/>
          <w:szCs w:val="20"/>
        </w:rPr>
        <w:t xml:space="preserve">. </w:t>
      </w:r>
      <w:proofErr w:type="spellStart"/>
      <w:r w:rsidRPr="00DA5656">
        <w:rPr>
          <w:sz w:val="20"/>
          <w:szCs w:val="20"/>
        </w:rPr>
        <w:t>Otorhinolaryngol</w:t>
      </w:r>
      <w:proofErr w:type="spellEnd"/>
      <w:r w:rsidRPr="00DA5656">
        <w:rPr>
          <w:sz w:val="20"/>
          <w:szCs w:val="20"/>
        </w:rPr>
        <w:t>. 70(6):973-80 (PMID 16443284)</w:t>
      </w:r>
    </w:p>
    <w:p w:rsidR="006907C8" w:rsidRPr="006907C8" w:rsidRDefault="006907C8" w:rsidP="006907C8">
      <w:pPr>
        <w:widowControl w:val="0"/>
        <w:autoSpaceDE w:val="0"/>
        <w:autoSpaceDN w:val="0"/>
        <w:adjustRightInd w:val="0"/>
        <w:spacing w:after="0" w:line="240" w:lineRule="auto"/>
        <w:rPr>
          <w:sz w:val="20"/>
          <w:szCs w:val="20"/>
        </w:rPr>
      </w:pPr>
    </w:p>
    <w:p w:rsidR="006907C8" w:rsidRDefault="006907C8" w:rsidP="006907C8">
      <w:pPr>
        <w:pStyle w:val="ListParagraph"/>
        <w:widowControl w:val="0"/>
        <w:numPr>
          <w:ilvl w:val="0"/>
          <w:numId w:val="10"/>
        </w:numPr>
        <w:autoSpaceDE w:val="0"/>
        <w:autoSpaceDN w:val="0"/>
        <w:adjustRightInd w:val="0"/>
        <w:spacing w:after="0" w:line="240" w:lineRule="auto"/>
        <w:rPr>
          <w:sz w:val="20"/>
          <w:szCs w:val="20"/>
        </w:rPr>
      </w:pPr>
      <w:r w:rsidRPr="00DA5656">
        <w:rPr>
          <w:sz w:val="20"/>
          <w:szCs w:val="20"/>
        </w:rPr>
        <w:t>Gomez-</w:t>
      </w:r>
      <w:proofErr w:type="spellStart"/>
      <w:r w:rsidRPr="00DA5656">
        <w:rPr>
          <w:sz w:val="20"/>
          <w:szCs w:val="20"/>
        </w:rPr>
        <w:t>Ospina</w:t>
      </w:r>
      <w:proofErr w:type="spellEnd"/>
      <w:r w:rsidRPr="00DA5656">
        <w:rPr>
          <w:sz w:val="20"/>
          <w:szCs w:val="20"/>
        </w:rPr>
        <w:t xml:space="preserve"> &amp; Bernstein (2016) Clinical, cytogenetic, and molecular outcomes in a series of 66 patients with Pierre Robin sequence and literature review: 22q11.2 deletion is less common than other chromosomal anomalies. Am. J. Med. Genet. A 170A(4):870-80 (PMID 26756138)</w:t>
      </w:r>
    </w:p>
    <w:p w:rsidR="006907C8" w:rsidRPr="006907C8" w:rsidRDefault="006907C8" w:rsidP="006907C8">
      <w:pPr>
        <w:widowControl w:val="0"/>
        <w:autoSpaceDE w:val="0"/>
        <w:autoSpaceDN w:val="0"/>
        <w:adjustRightInd w:val="0"/>
        <w:spacing w:after="0" w:line="240" w:lineRule="auto"/>
        <w:rPr>
          <w:sz w:val="20"/>
          <w:szCs w:val="20"/>
        </w:rPr>
      </w:pPr>
    </w:p>
    <w:p w:rsidR="006907C8" w:rsidRDefault="006907C8" w:rsidP="006907C8">
      <w:pPr>
        <w:pStyle w:val="ListParagraph"/>
        <w:widowControl w:val="0"/>
        <w:numPr>
          <w:ilvl w:val="0"/>
          <w:numId w:val="10"/>
        </w:numPr>
        <w:autoSpaceDE w:val="0"/>
        <w:autoSpaceDN w:val="0"/>
        <w:adjustRightInd w:val="0"/>
        <w:spacing w:after="0" w:line="240" w:lineRule="auto"/>
        <w:rPr>
          <w:sz w:val="20"/>
          <w:szCs w:val="20"/>
        </w:rPr>
      </w:pPr>
      <w:r w:rsidRPr="00DA5656">
        <w:rPr>
          <w:sz w:val="20"/>
          <w:szCs w:val="20"/>
        </w:rPr>
        <w:t xml:space="preserve">Robin et al. Stickler Syndrome. 2000 Jun 9 [Updated 2017 Mar 16]. In: </w:t>
      </w:r>
      <w:proofErr w:type="spellStart"/>
      <w:r w:rsidRPr="00DA5656">
        <w:rPr>
          <w:sz w:val="20"/>
          <w:szCs w:val="20"/>
        </w:rPr>
        <w:t>Pagon</w:t>
      </w:r>
      <w:proofErr w:type="spellEnd"/>
      <w:r w:rsidRPr="00DA5656">
        <w:rPr>
          <w:sz w:val="20"/>
          <w:szCs w:val="20"/>
        </w:rPr>
        <w:t xml:space="preserve"> RA, Adam MP, </w:t>
      </w:r>
      <w:proofErr w:type="spellStart"/>
      <w:r w:rsidRPr="00DA5656">
        <w:rPr>
          <w:sz w:val="20"/>
          <w:szCs w:val="20"/>
        </w:rPr>
        <w:t>Ardinger</w:t>
      </w:r>
      <w:proofErr w:type="spellEnd"/>
      <w:r w:rsidRPr="00DA5656">
        <w:rPr>
          <w:sz w:val="20"/>
          <w:szCs w:val="20"/>
        </w:rPr>
        <w:t xml:space="preserve"> HH, et al., editors. </w:t>
      </w:r>
      <w:proofErr w:type="spellStart"/>
      <w:r w:rsidRPr="00DA5656">
        <w:rPr>
          <w:sz w:val="20"/>
          <w:szCs w:val="20"/>
        </w:rPr>
        <w:t>GeneReviews</w:t>
      </w:r>
      <w:proofErr w:type="spellEnd"/>
      <w:r w:rsidRPr="00DA5656">
        <w:rPr>
          <w:sz w:val="20"/>
          <w:szCs w:val="20"/>
        </w:rPr>
        <w:t>® [Internet]. Seattle (WA): University of Washington, Seattle; 1993-2015.</w:t>
      </w:r>
    </w:p>
    <w:p w:rsidR="006907C8" w:rsidRPr="006907C8" w:rsidRDefault="006907C8" w:rsidP="006907C8">
      <w:pPr>
        <w:widowControl w:val="0"/>
        <w:autoSpaceDE w:val="0"/>
        <w:autoSpaceDN w:val="0"/>
        <w:adjustRightInd w:val="0"/>
        <w:spacing w:after="0" w:line="240" w:lineRule="auto"/>
        <w:rPr>
          <w:sz w:val="20"/>
          <w:szCs w:val="20"/>
        </w:rPr>
      </w:pPr>
    </w:p>
    <w:p w:rsidR="006907C8" w:rsidRDefault="006907C8" w:rsidP="006907C8">
      <w:pPr>
        <w:pStyle w:val="ListParagraph"/>
        <w:widowControl w:val="0"/>
        <w:numPr>
          <w:ilvl w:val="0"/>
          <w:numId w:val="10"/>
        </w:numPr>
        <w:autoSpaceDE w:val="0"/>
        <w:autoSpaceDN w:val="0"/>
        <w:adjustRightInd w:val="0"/>
        <w:spacing w:after="0" w:line="240" w:lineRule="auto"/>
        <w:rPr>
          <w:sz w:val="20"/>
          <w:szCs w:val="20"/>
        </w:rPr>
      </w:pPr>
      <w:r w:rsidRPr="00DA5656">
        <w:rPr>
          <w:sz w:val="20"/>
          <w:szCs w:val="20"/>
        </w:rPr>
        <w:t xml:space="preserve">Richards et al. (2010) Stickler syndrome and the vitreous phenotype: mutations in COL2A1 and COL11A1. Hum. </w:t>
      </w:r>
      <w:proofErr w:type="spellStart"/>
      <w:r w:rsidRPr="00DA5656">
        <w:rPr>
          <w:sz w:val="20"/>
          <w:szCs w:val="20"/>
        </w:rPr>
        <w:t>Mutat</w:t>
      </w:r>
      <w:proofErr w:type="spellEnd"/>
      <w:r w:rsidRPr="00DA5656">
        <w:rPr>
          <w:sz w:val="20"/>
          <w:szCs w:val="20"/>
        </w:rPr>
        <w:t>. 31(6):E1461-71. (PMID 20513134)</w:t>
      </w:r>
    </w:p>
    <w:p w:rsidR="006907C8" w:rsidRPr="006907C8" w:rsidRDefault="006907C8" w:rsidP="006907C8">
      <w:pPr>
        <w:widowControl w:val="0"/>
        <w:autoSpaceDE w:val="0"/>
        <w:autoSpaceDN w:val="0"/>
        <w:adjustRightInd w:val="0"/>
        <w:spacing w:after="0" w:line="240" w:lineRule="auto"/>
        <w:rPr>
          <w:sz w:val="20"/>
          <w:szCs w:val="20"/>
        </w:rPr>
      </w:pPr>
    </w:p>
    <w:p w:rsidR="006907C8" w:rsidRDefault="006907C8" w:rsidP="006907C8">
      <w:pPr>
        <w:pStyle w:val="ListParagraph"/>
        <w:widowControl w:val="0"/>
        <w:numPr>
          <w:ilvl w:val="0"/>
          <w:numId w:val="10"/>
        </w:numPr>
        <w:autoSpaceDE w:val="0"/>
        <w:autoSpaceDN w:val="0"/>
        <w:adjustRightInd w:val="0"/>
        <w:spacing w:after="0" w:line="240" w:lineRule="auto"/>
        <w:rPr>
          <w:sz w:val="20"/>
          <w:szCs w:val="20"/>
        </w:rPr>
      </w:pPr>
      <w:proofErr w:type="spellStart"/>
      <w:r w:rsidRPr="00DA5656">
        <w:rPr>
          <w:sz w:val="20"/>
          <w:szCs w:val="20"/>
        </w:rPr>
        <w:t>Acke</w:t>
      </w:r>
      <w:proofErr w:type="spellEnd"/>
      <w:r w:rsidRPr="00DA5656">
        <w:rPr>
          <w:sz w:val="20"/>
          <w:szCs w:val="20"/>
        </w:rPr>
        <w:t xml:space="preserve"> et al. (2014) Novel pathogenic COL11A1/COL11A2 variants in Stickler syndrome detected by targeted NGS and exome sequencing. Mol. Genet. </w:t>
      </w:r>
      <w:proofErr w:type="spellStart"/>
      <w:r w:rsidRPr="00DA5656">
        <w:rPr>
          <w:sz w:val="20"/>
          <w:szCs w:val="20"/>
        </w:rPr>
        <w:t>Metab</w:t>
      </w:r>
      <w:proofErr w:type="spellEnd"/>
      <w:r w:rsidRPr="00DA5656">
        <w:rPr>
          <w:sz w:val="20"/>
          <w:szCs w:val="20"/>
        </w:rPr>
        <w:t>. 113 (3):230-5 (PMID: 25240749)</w:t>
      </w:r>
    </w:p>
    <w:p w:rsidR="006907C8" w:rsidRPr="006907C8" w:rsidRDefault="006907C8" w:rsidP="006907C8">
      <w:pPr>
        <w:widowControl w:val="0"/>
        <w:autoSpaceDE w:val="0"/>
        <w:autoSpaceDN w:val="0"/>
        <w:adjustRightInd w:val="0"/>
        <w:spacing w:after="0" w:line="240" w:lineRule="auto"/>
        <w:rPr>
          <w:sz w:val="20"/>
          <w:szCs w:val="20"/>
        </w:rPr>
      </w:pPr>
    </w:p>
    <w:p w:rsidR="006907C8" w:rsidRPr="00DA5656" w:rsidRDefault="006907C8" w:rsidP="006907C8">
      <w:pPr>
        <w:pStyle w:val="ListParagraph"/>
        <w:widowControl w:val="0"/>
        <w:numPr>
          <w:ilvl w:val="0"/>
          <w:numId w:val="10"/>
        </w:numPr>
        <w:autoSpaceDE w:val="0"/>
        <w:autoSpaceDN w:val="0"/>
        <w:adjustRightInd w:val="0"/>
        <w:spacing w:after="0" w:line="240" w:lineRule="auto"/>
        <w:rPr>
          <w:sz w:val="20"/>
          <w:szCs w:val="20"/>
        </w:rPr>
      </w:pPr>
      <w:r w:rsidRPr="00416FDB">
        <w:rPr>
          <w:sz w:val="20"/>
          <w:szCs w:val="20"/>
        </w:rPr>
        <w:t>Nixon et al. (2019) Homozygous Type IX collagen variants (COL9A1, COL9A2, and COL9A3) causing recessive Stickler syndrome-Expanding the phenotype. Am. J. Med. Genet. A 179 (8):1498-1506 (PMID: 31090205)</w:t>
      </w:r>
    </w:p>
    <w:p w:rsidR="006907C8" w:rsidRPr="00454799" w:rsidRDefault="006907C8" w:rsidP="00454799">
      <w:pPr>
        <w:rPr>
          <w:sz w:val="18"/>
          <w:szCs w:val="18"/>
        </w:rPr>
      </w:pPr>
    </w:p>
    <w:sectPr w:rsidR="006907C8"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C41C4"/>
    <w:multiLevelType w:val="hybridMultilevel"/>
    <w:tmpl w:val="7262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562A"/>
    <w:rsid w:val="00652804"/>
    <w:rsid w:val="00653661"/>
    <w:rsid w:val="006907C8"/>
    <w:rsid w:val="00696FAB"/>
    <w:rsid w:val="0071491F"/>
    <w:rsid w:val="0073022E"/>
    <w:rsid w:val="0074159D"/>
    <w:rsid w:val="00776731"/>
    <w:rsid w:val="00855940"/>
    <w:rsid w:val="008569AB"/>
    <w:rsid w:val="008706C4"/>
    <w:rsid w:val="00887B41"/>
    <w:rsid w:val="008E7C39"/>
    <w:rsid w:val="00900219"/>
    <w:rsid w:val="00921AF4"/>
    <w:rsid w:val="00AB2F4A"/>
    <w:rsid w:val="00B27690"/>
    <w:rsid w:val="00B374A4"/>
    <w:rsid w:val="00B82599"/>
    <w:rsid w:val="00BE244D"/>
    <w:rsid w:val="00C247D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2019-11-06T18:35:00Z</dcterms:created>
  <dcterms:modified xsi:type="dcterms:W3CDTF">2019-11-06T18:35:00Z</dcterms:modified>
</cp:coreProperties>
</file>