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5E6" w:rsidRPr="00205DB4" w:rsidRDefault="003D0EA6" w:rsidP="00205DB4">
      <w:pPr>
        <w:pStyle w:val="NoSpacing"/>
        <w:jc w:val="center"/>
        <w:rPr>
          <w:b/>
        </w:rPr>
      </w:pPr>
      <w:bookmarkStart w:id="0" w:name="_GoBack"/>
      <w:bookmarkEnd w:id="0"/>
      <w:r w:rsidRPr="00205DB4">
        <w:rPr>
          <w:b/>
        </w:rPr>
        <w:t>Letter of Medical Necessi</w:t>
      </w:r>
      <w:r w:rsidR="00BB1532">
        <w:rPr>
          <w:b/>
        </w:rPr>
        <w:t>ty for Autism/Intellectual Disability (ID) Xpanded Panel</w:t>
      </w:r>
    </w:p>
    <w:p w:rsidR="00AB2F4A" w:rsidRPr="00AB2F4A" w:rsidRDefault="00AB2F4A" w:rsidP="00AB2F4A">
      <w:pPr>
        <w:pStyle w:val="NoSpacing"/>
        <w:rPr>
          <w:color w:val="FF0000"/>
        </w:rPr>
      </w:pPr>
    </w:p>
    <w:p w:rsidR="00AB2F4A" w:rsidRDefault="00AB2F4A" w:rsidP="00AB2F4A">
      <w:pPr>
        <w:pStyle w:val="NoSpacing"/>
        <w:rPr>
          <w:color w:val="FF0000"/>
        </w:rPr>
      </w:pPr>
    </w:p>
    <w:p w:rsidR="00205DB4" w:rsidRPr="00AB2F4A" w:rsidRDefault="00205DB4" w:rsidP="00AB2F4A">
      <w:pPr>
        <w:pStyle w:val="NoSpacing"/>
        <w:rPr>
          <w:color w:val="FF0000"/>
        </w:rPr>
        <w:sectPr w:rsidR="00205DB4" w:rsidRPr="00AB2F4A">
          <w:pgSz w:w="12240" w:h="15840"/>
          <w:pgMar w:top="1440" w:right="1440" w:bottom="1440" w:left="1440" w:header="720" w:footer="720" w:gutter="0"/>
          <w:cols w:space="720"/>
          <w:docGrid w:linePitch="360"/>
        </w:sectPr>
      </w:pPr>
    </w:p>
    <w:p w:rsidR="00253146" w:rsidRPr="00253146" w:rsidRDefault="00253146" w:rsidP="00AB2F4A">
      <w:pPr>
        <w:pStyle w:val="NoSpacing"/>
        <w:rPr>
          <w:b/>
          <w:u w:val="single"/>
        </w:rPr>
      </w:pPr>
      <w:r w:rsidRPr="00253146">
        <w:rPr>
          <w:b/>
          <w:u w:val="single"/>
        </w:rPr>
        <w:t>Patient Information</w:t>
      </w:r>
    </w:p>
    <w:p w:rsidR="003D0EA6" w:rsidRPr="00253146" w:rsidRDefault="003D0EA6" w:rsidP="00AB2F4A">
      <w:pPr>
        <w:pStyle w:val="NoSpacing"/>
        <w:rPr>
          <w:b/>
          <w:color w:val="FF0000"/>
        </w:rPr>
      </w:pPr>
      <w:r w:rsidRPr="00253146">
        <w:rPr>
          <w:b/>
          <w:color w:val="FF0000"/>
        </w:rPr>
        <w:t>Date:</w:t>
      </w:r>
    </w:p>
    <w:p w:rsidR="003D0EA6" w:rsidRPr="00253146" w:rsidRDefault="003D0EA6" w:rsidP="00AB2F4A">
      <w:pPr>
        <w:pStyle w:val="NoSpacing"/>
        <w:rPr>
          <w:b/>
          <w:color w:val="FF0000"/>
        </w:rPr>
      </w:pPr>
      <w:r w:rsidRPr="00253146">
        <w:rPr>
          <w:b/>
          <w:color w:val="FF0000"/>
        </w:rPr>
        <w:t>Patient Name:</w:t>
      </w:r>
    </w:p>
    <w:p w:rsidR="003D0EA6" w:rsidRPr="00253146" w:rsidRDefault="003D0EA6" w:rsidP="00AB2F4A">
      <w:pPr>
        <w:pStyle w:val="NoSpacing"/>
        <w:rPr>
          <w:b/>
          <w:color w:val="FF0000"/>
        </w:rPr>
      </w:pPr>
      <w:r w:rsidRPr="00253146">
        <w:rPr>
          <w:b/>
          <w:color w:val="FF0000"/>
        </w:rPr>
        <w:t>Patient DOB:</w:t>
      </w:r>
    </w:p>
    <w:p w:rsidR="003D0EA6" w:rsidRPr="00253146" w:rsidRDefault="003D0EA6" w:rsidP="00AB2F4A">
      <w:pPr>
        <w:pStyle w:val="NoSpacing"/>
        <w:rPr>
          <w:b/>
          <w:color w:val="FF0000"/>
        </w:rPr>
      </w:pPr>
      <w:r w:rsidRPr="00253146">
        <w:rPr>
          <w:b/>
          <w:color w:val="FF0000"/>
        </w:rPr>
        <w:t>Insurance Company</w:t>
      </w:r>
      <w:r w:rsidR="00B82599" w:rsidRPr="00253146">
        <w:rPr>
          <w:b/>
          <w:color w:val="FF0000"/>
        </w:rPr>
        <w:t xml:space="preserve"> Name, Address, City, State</w:t>
      </w:r>
      <w:r w:rsidRPr="00253146">
        <w:rPr>
          <w:b/>
          <w:color w:val="FF0000"/>
        </w:rPr>
        <w:t>:</w:t>
      </w:r>
    </w:p>
    <w:p w:rsidR="003D0EA6" w:rsidRPr="00253146" w:rsidRDefault="003D0EA6" w:rsidP="00AB2F4A">
      <w:pPr>
        <w:pStyle w:val="NoSpacing"/>
        <w:rPr>
          <w:b/>
          <w:color w:val="FF0000"/>
        </w:rPr>
      </w:pPr>
      <w:r w:rsidRPr="00253146">
        <w:rPr>
          <w:b/>
          <w:color w:val="FF0000"/>
        </w:rPr>
        <w:t>Policy Number</w:t>
      </w:r>
      <w:r w:rsidR="00253146">
        <w:rPr>
          <w:b/>
          <w:color w:val="FF0000"/>
        </w:rPr>
        <w:t>:</w:t>
      </w:r>
    </w:p>
    <w:p w:rsidR="003D0EA6" w:rsidRPr="00253146" w:rsidRDefault="003D0EA6" w:rsidP="00AB2F4A">
      <w:pPr>
        <w:pStyle w:val="NoSpacing"/>
        <w:rPr>
          <w:b/>
          <w:color w:val="FF0000"/>
        </w:rPr>
      </w:pPr>
      <w:r w:rsidRPr="00253146">
        <w:rPr>
          <w:b/>
          <w:color w:val="FF0000"/>
        </w:rPr>
        <w:t>Group Number</w:t>
      </w:r>
      <w:r w:rsidR="00253146">
        <w:rPr>
          <w:b/>
          <w:color w:val="FF0000"/>
        </w:rPr>
        <w:t>:</w:t>
      </w:r>
    </w:p>
    <w:p w:rsidR="00AB2F4A" w:rsidRPr="00AB2F4A" w:rsidRDefault="00B82599" w:rsidP="00AB2F4A">
      <w:pPr>
        <w:pStyle w:val="NoSpacing"/>
        <w:rPr>
          <w:color w:val="FF0000"/>
        </w:rPr>
      </w:pPr>
      <w:r w:rsidRPr="00253146">
        <w:rPr>
          <w:b/>
          <w:color w:val="FF0000"/>
        </w:rPr>
        <w:t>ICD10 Codes</w:t>
      </w:r>
      <w:r w:rsidR="00253146">
        <w:rPr>
          <w:b/>
          <w:color w:val="FF0000"/>
        </w:rPr>
        <w:t>:</w:t>
      </w:r>
      <w:r w:rsidR="00921AF4" w:rsidRPr="00AB2F4A">
        <w:rPr>
          <w:color w:val="FF0000"/>
        </w:rPr>
        <w:t xml:space="preserve"> </w:t>
      </w:r>
    </w:p>
    <w:p w:rsidR="00205DB4" w:rsidRDefault="00205DB4" w:rsidP="00AB2F4A">
      <w:pPr>
        <w:pStyle w:val="NoSpacing"/>
      </w:pPr>
    </w:p>
    <w:p w:rsidR="00205DB4" w:rsidRDefault="00205DB4" w:rsidP="00AB2F4A">
      <w:pPr>
        <w:pStyle w:val="NoSpacing"/>
      </w:pPr>
    </w:p>
    <w:p w:rsidR="00342070" w:rsidRDefault="00342070" w:rsidP="00AB2F4A">
      <w:pPr>
        <w:pStyle w:val="NoSpacing"/>
      </w:pPr>
    </w:p>
    <w:p w:rsidR="00205DB4" w:rsidRPr="00253146" w:rsidRDefault="00253146" w:rsidP="00AB2F4A">
      <w:pPr>
        <w:pStyle w:val="NoSpacing"/>
        <w:rPr>
          <w:b/>
          <w:u w:val="single"/>
        </w:rPr>
      </w:pPr>
      <w:r w:rsidRPr="00253146">
        <w:rPr>
          <w:b/>
          <w:u w:val="single"/>
        </w:rPr>
        <w:t>Test Information</w:t>
      </w:r>
    </w:p>
    <w:p w:rsidR="002D0B92" w:rsidRPr="00253146" w:rsidRDefault="002D0B92" w:rsidP="00AB2F4A">
      <w:pPr>
        <w:pStyle w:val="NoSpacing"/>
      </w:pPr>
      <w:r w:rsidRPr="00253146">
        <w:rPr>
          <w:b/>
        </w:rPr>
        <w:t>Test Name</w:t>
      </w:r>
      <w:r w:rsidR="00FB3BE6" w:rsidRPr="00253146">
        <w:rPr>
          <w:b/>
        </w:rPr>
        <w:t>:</w:t>
      </w:r>
      <w:r w:rsidR="00BB1532">
        <w:t xml:space="preserve">  </w:t>
      </w:r>
      <w:r w:rsidR="00BB1532" w:rsidRPr="00BB1532">
        <w:t>Autism/Intellectual Disability (ID) Xpanded Panel</w:t>
      </w:r>
    </w:p>
    <w:p w:rsidR="00F9401A" w:rsidRDefault="002D0B92" w:rsidP="00AB2F4A">
      <w:pPr>
        <w:pStyle w:val="NoSpacing"/>
      </w:pPr>
      <w:r w:rsidRPr="0064562A">
        <w:rPr>
          <w:b/>
        </w:rPr>
        <w:t>CPT Codes</w:t>
      </w:r>
      <w:r w:rsidR="00FB3BE6" w:rsidRPr="0064562A">
        <w:rPr>
          <w:b/>
        </w:rPr>
        <w:t>:</w:t>
      </w:r>
      <w:r w:rsidR="0049471E">
        <w:rPr>
          <w:b/>
        </w:rPr>
        <w:t xml:space="preserve">  </w:t>
      </w:r>
      <w:r w:rsidR="0049471E" w:rsidRPr="0049471E">
        <w:t>81470x1, 81471x1</w:t>
      </w:r>
    </w:p>
    <w:p w:rsidR="008706C4" w:rsidRPr="00253146" w:rsidRDefault="00FB3BE6" w:rsidP="00AB2F4A">
      <w:pPr>
        <w:pStyle w:val="NoSpacing"/>
        <w:rPr>
          <w:b/>
        </w:rPr>
      </w:pPr>
      <w:r w:rsidRPr="00253146">
        <w:rPr>
          <w:b/>
        </w:rPr>
        <w:t xml:space="preserve">Laboratory: </w:t>
      </w:r>
    </w:p>
    <w:p w:rsidR="00253146" w:rsidRDefault="008706C4" w:rsidP="00AB2F4A">
      <w:pPr>
        <w:pStyle w:val="NoSpacing"/>
      </w:pPr>
      <w:r>
        <w:t>GeneDx</w:t>
      </w:r>
      <w:r w:rsidR="00D17422">
        <w:t xml:space="preserve">, Inc. </w:t>
      </w:r>
      <w:r w:rsidR="00205DB4">
        <w:t xml:space="preserve"> </w:t>
      </w:r>
    </w:p>
    <w:p w:rsidR="00205DB4" w:rsidRPr="008706C4" w:rsidRDefault="00FB3BE6" w:rsidP="00AB2F4A">
      <w:pPr>
        <w:pStyle w:val="NoSpacing"/>
      </w:pPr>
      <w:r w:rsidRPr="00AB2F4A">
        <w:t>(NPI#1487632998 / TAXID#205446298 / CLIA#21D0969951)</w:t>
      </w:r>
    </w:p>
    <w:p w:rsidR="00AB2F4A" w:rsidRPr="00205DB4" w:rsidRDefault="00AB2F4A" w:rsidP="00AB2F4A">
      <w:pPr>
        <w:pStyle w:val="NoSpacing"/>
        <w:rPr>
          <w:color w:val="FF0000"/>
        </w:rPr>
      </w:pPr>
      <w:r w:rsidRPr="00AB2F4A">
        <w:t>207 Perry Parkway</w:t>
      </w:r>
    </w:p>
    <w:p w:rsidR="00AB2F4A" w:rsidRPr="00AB2F4A" w:rsidRDefault="00AB2F4A" w:rsidP="00AB2F4A">
      <w:pPr>
        <w:pStyle w:val="NoSpacing"/>
      </w:pPr>
      <w:r w:rsidRPr="00AB2F4A">
        <w:t>Gaithersburg, MD 20877</w:t>
      </w:r>
    </w:p>
    <w:p w:rsidR="00AB2F4A" w:rsidRPr="0064562A" w:rsidRDefault="00AB2F4A" w:rsidP="00AB2F4A">
      <w:pPr>
        <w:pStyle w:val="NoSpacing"/>
      </w:pPr>
      <w:r w:rsidRPr="0064562A">
        <w:t>Telephone:</w:t>
      </w:r>
      <w:r w:rsidR="0064562A" w:rsidRPr="0064562A">
        <w:t xml:space="preserve"> (301) 519-2100</w:t>
      </w:r>
    </w:p>
    <w:p w:rsidR="002D0B92" w:rsidRPr="0064562A" w:rsidRDefault="00AB2F4A" w:rsidP="00AB2F4A">
      <w:pPr>
        <w:pStyle w:val="NoSpacing"/>
      </w:pPr>
      <w:r w:rsidRPr="0064562A">
        <w:t xml:space="preserve">Fax: </w:t>
      </w:r>
      <w:r w:rsidR="0064562A" w:rsidRPr="0064562A">
        <w:t>(201) 421-2010</w:t>
      </w:r>
    </w:p>
    <w:p w:rsidR="00AB2F4A" w:rsidRPr="00AB2F4A" w:rsidRDefault="00AB2F4A" w:rsidP="00AB2F4A">
      <w:pPr>
        <w:pStyle w:val="NoSpacing"/>
        <w:sectPr w:rsidR="00AB2F4A" w:rsidRPr="00AB2F4A" w:rsidSect="00AB2F4A">
          <w:type w:val="continuous"/>
          <w:pgSz w:w="12240" w:h="15840"/>
          <w:pgMar w:top="1440" w:right="1440" w:bottom="1440" w:left="1440" w:header="720" w:footer="720" w:gutter="0"/>
          <w:cols w:num="2" w:space="720"/>
          <w:docGrid w:linePitch="360"/>
        </w:sectPr>
      </w:pPr>
    </w:p>
    <w:p w:rsidR="003D0EA6" w:rsidRPr="00AB2F4A" w:rsidRDefault="003D0EA6" w:rsidP="00AB2F4A">
      <w:pPr>
        <w:pStyle w:val="NoSpacing"/>
      </w:pPr>
    </w:p>
    <w:p w:rsidR="00205DB4" w:rsidRDefault="00205DB4" w:rsidP="00AB2F4A">
      <w:pPr>
        <w:pStyle w:val="NoSpacing"/>
      </w:pPr>
    </w:p>
    <w:p w:rsidR="00F74480" w:rsidRDefault="00F74480" w:rsidP="00AB2F4A">
      <w:pPr>
        <w:pStyle w:val="NoSpacing"/>
      </w:pPr>
      <w:r w:rsidRPr="00AB2F4A">
        <w:t xml:space="preserve">This letter is in regards to my patient, </w:t>
      </w:r>
      <w:r w:rsidR="002D0B92" w:rsidRPr="00AB2F4A">
        <w:rPr>
          <w:color w:val="FF0000"/>
        </w:rPr>
        <w:t>[</w:t>
      </w:r>
      <w:r w:rsidRPr="00AB2F4A">
        <w:rPr>
          <w:color w:val="FF0000"/>
        </w:rPr>
        <w:t>FIRST NAME LAST NAME</w:t>
      </w:r>
      <w:r w:rsidR="002D0B92" w:rsidRPr="00AB2F4A">
        <w:rPr>
          <w:color w:val="FF0000"/>
        </w:rPr>
        <w:t>]</w:t>
      </w:r>
      <w:r w:rsidR="0064562A">
        <w:t>, to re</w:t>
      </w:r>
      <w:r w:rsidR="0049471E">
        <w:t xml:space="preserve">quest full coverage for the </w:t>
      </w:r>
      <w:r w:rsidR="0049471E" w:rsidRPr="00BB1532">
        <w:t>Autism/Intellectual Disability (ID) Xpanded Panel</w:t>
      </w:r>
      <w:r w:rsidR="0049471E">
        <w:t xml:space="preserve"> </w:t>
      </w:r>
      <w:r w:rsidRPr="00AB2F4A">
        <w:t>to be perfo</w:t>
      </w:r>
      <w:r w:rsidR="008706C4">
        <w:t>r</w:t>
      </w:r>
      <w:r w:rsidRPr="00AB2F4A">
        <w:t>med by GeneDx</w:t>
      </w:r>
      <w:r w:rsidR="002D0B92" w:rsidRPr="00AB2F4A">
        <w:t xml:space="preserve">.  </w:t>
      </w:r>
      <w:r w:rsidRPr="00AB2F4A">
        <w:t xml:space="preserve">It is my professional determination that testing is medically necessary and will have a direct impact on this patient’s treatment and management.   </w:t>
      </w:r>
    </w:p>
    <w:p w:rsidR="006337EC" w:rsidRDefault="006337EC" w:rsidP="00AB2F4A">
      <w:pPr>
        <w:pStyle w:val="NoSpacing"/>
      </w:pPr>
    </w:p>
    <w:p w:rsidR="00B374A4" w:rsidRPr="00B374A4" w:rsidRDefault="00B374A4" w:rsidP="00AB2F4A">
      <w:pPr>
        <w:pStyle w:val="NoSpacing"/>
        <w:rPr>
          <w:b/>
        </w:rPr>
      </w:pPr>
      <w:r w:rsidRPr="00B374A4">
        <w:rPr>
          <w:b/>
        </w:rPr>
        <w:t xml:space="preserve">Patient </w:t>
      </w:r>
      <w:r>
        <w:rPr>
          <w:b/>
        </w:rPr>
        <w:t>Clinical and Family History</w:t>
      </w:r>
    </w:p>
    <w:p w:rsidR="006337EC" w:rsidRDefault="006337EC" w:rsidP="006337EC">
      <w:pPr>
        <w:pStyle w:val="NoSpacing"/>
      </w:pPr>
      <w:r>
        <w:t>This testing is requested due to this</w:t>
      </w:r>
      <w:r w:rsidRPr="00AB2F4A">
        <w:t xml:space="preserve"> patient’s person</w:t>
      </w:r>
      <w:r w:rsidR="00855940">
        <w:t>al medical history, which includes the following clinical findings</w:t>
      </w:r>
      <w:r w:rsidRPr="00AB2F4A">
        <w:t xml:space="preserve">:  </w:t>
      </w:r>
    </w:p>
    <w:p w:rsidR="006337EC" w:rsidRPr="00AB2F4A" w:rsidRDefault="006337EC" w:rsidP="006337EC">
      <w:pPr>
        <w:pStyle w:val="NoSpacing"/>
      </w:pPr>
    </w:p>
    <w:p w:rsidR="006337EC" w:rsidRPr="00AB2F4A" w:rsidRDefault="006337EC" w:rsidP="006337EC">
      <w:pPr>
        <w:pStyle w:val="NoSpacing"/>
        <w:numPr>
          <w:ilvl w:val="0"/>
          <w:numId w:val="6"/>
        </w:numPr>
        <w:rPr>
          <w:color w:val="FF0000"/>
        </w:rPr>
      </w:pPr>
      <w:r>
        <w:rPr>
          <w:color w:val="FF0000"/>
        </w:rPr>
        <w:t xml:space="preserve">Add Phenotype </w:t>
      </w:r>
    </w:p>
    <w:p w:rsidR="006337EC" w:rsidRPr="00AB2F4A" w:rsidRDefault="006337EC" w:rsidP="006337EC">
      <w:pPr>
        <w:pStyle w:val="NoSpacing"/>
        <w:numPr>
          <w:ilvl w:val="0"/>
          <w:numId w:val="6"/>
        </w:numPr>
        <w:rPr>
          <w:color w:val="FF0000"/>
        </w:rPr>
      </w:pPr>
      <w:r>
        <w:rPr>
          <w:color w:val="FF0000"/>
        </w:rPr>
        <w:t xml:space="preserve">Add Phenotype </w:t>
      </w:r>
    </w:p>
    <w:p w:rsidR="006337EC" w:rsidRDefault="006337EC" w:rsidP="00AB2F4A">
      <w:pPr>
        <w:pStyle w:val="NoSpacing"/>
        <w:numPr>
          <w:ilvl w:val="0"/>
          <w:numId w:val="6"/>
        </w:numPr>
        <w:rPr>
          <w:color w:val="FF0000"/>
        </w:rPr>
      </w:pPr>
      <w:r>
        <w:rPr>
          <w:color w:val="FF0000"/>
        </w:rPr>
        <w:t>Add Phenotype</w:t>
      </w:r>
    </w:p>
    <w:p w:rsidR="00855940" w:rsidRDefault="00855940" w:rsidP="00855940">
      <w:pPr>
        <w:pStyle w:val="NoSpacing"/>
        <w:rPr>
          <w:color w:val="FF0000"/>
        </w:rPr>
      </w:pPr>
    </w:p>
    <w:p w:rsidR="00855940" w:rsidRDefault="00855940" w:rsidP="00855940">
      <w:pPr>
        <w:pStyle w:val="NoSpacing"/>
      </w:pPr>
      <w:r>
        <w:t xml:space="preserve">The patient’s family history is </w:t>
      </w:r>
      <w:r w:rsidRPr="00855940">
        <w:rPr>
          <w:color w:val="FF0000"/>
        </w:rPr>
        <w:t>negative</w:t>
      </w:r>
      <w:r>
        <w:rPr>
          <w:color w:val="FF0000"/>
        </w:rPr>
        <w:t xml:space="preserve"> for related conditions</w:t>
      </w:r>
      <w:r w:rsidRPr="00855940">
        <w:rPr>
          <w:color w:val="FF0000"/>
        </w:rPr>
        <w:t xml:space="preserve"> / unknown / remarkable for the following </w:t>
      </w:r>
      <w:r>
        <w:rPr>
          <w:color w:val="FF0000"/>
        </w:rPr>
        <w:t xml:space="preserve">related clinical features: </w:t>
      </w:r>
    </w:p>
    <w:p w:rsidR="00ED14F6" w:rsidRDefault="00ED14F6" w:rsidP="00855940">
      <w:pPr>
        <w:pStyle w:val="NoSpacing"/>
      </w:pPr>
    </w:p>
    <w:p w:rsidR="00ED14F6" w:rsidRDefault="00ED14F6" w:rsidP="00855940">
      <w:pPr>
        <w:pStyle w:val="NoSpacing"/>
        <w:rPr>
          <w:color w:val="FF0000"/>
        </w:rPr>
      </w:pPr>
      <w:r>
        <w:rPr>
          <w:color w:val="FF0000"/>
        </w:rPr>
        <w:t>The patient has previously had the following uninformative genetic and other testing:</w:t>
      </w:r>
    </w:p>
    <w:p w:rsidR="00ED14F6" w:rsidRDefault="00ED14F6" w:rsidP="00301F9D">
      <w:pPr>
        <w:pStyle w:val="NoSpacing"/>
        <w:numPr>
          <w:ilvl w:val="0"/>
          <w:numId w:val="9"/>
        </w:numPr>
        <w:rPr>
          <w:color w:val="FF0000"/>
        </w:rPr>
      </w:pPr>
      <w:r>
        <w:rPr>
          <w:color w:val="FF0000"/>
        </w:rPr>
        <w:t>Add test</w:t>
      </w:r>
    </w:p>
    <w:p w:rsidR="00ED14F6" w:rsidRDefault="00ED14F6" w:rsidP="00301F9D">
      <w:pPr>
        <w:pStyle w:val="NoSpacing"/>
        <w:numPr>
          <w:ilvl w:val="0"/>
          <w:numId w:val="9"/>
        </w:numPr>
        <w:rPr>
          <w:color w:val="FF0000"/>
        </w:rPr>
      </w:pPr>
      <w:r>
        <w:rPr>
          <w:color w:val="FF0000"/>
        </w:rPr>
        <w:t>Add test</w:t>
      </w:r>
    </w:p>
    <w:p w:rsidR="00ED14F6" w:rsidRPr="00301F9D" w:rsidRDefault="00ED14F6" w:rsidP="00301F9D">
      <w:pPr>
        <w:pStyle w:val="NoSpacing"/>
        <w:numPr>
          <w:ilvl w:val="0"/>
          <w:numId w:val="9"/>
        </w:numPr>
        <w:rPr>
          <w:color w:val="FF0000"/>
        </w:rPr>
      </w:pPr>
      <w:r>
        <w:rPr>
          <w:color w:val="FF0000"/>
        </w:rPr>
        <w:t>Add test</w:t>
      </w:r>
    </w:p>
    <w:p w:rsidR="00205DB4" w:rsidRDefault="00205DB4" w:rsidP="00AB2F4A">
      <w:pPr>
        <w:pStyle w:val="NoSpacing"/>
      </w:pPr>
    </w:p>
    <w:p w:rsidR="00B374A4" w:rsidRPr="00B374A4" w:rsidRDefault="00776731" w:rsidP="00AB2F4A">
      <w:pPr>
        <w:pStyle w:val="NoSpacing"/>
        <w:rPr>
          <w:b/>
        </w:rPr>
      </w:pPr>
      <w:r>
        <w:rPr>
          <w:b/>
        </w:rPr>
        <w:t>Clinical Evidence and Guidelines for Testing</w:t>
      </w:r>
    </w:p>
    <w:p w:rsidR="0049471E" w:rsidRPr="0082085F" w:rsidRDefault="0049471E" w:rsidP="0049471E">
      <w:pPr>
        <w:pStyle w:val="NoSpacing"/>
        <w:rPr>
          <w:vertAlign w:val="superscript"/>
        </w:rPr>
      </w:pPr>
      <w:r w:rsidRPr="0049471E">
        <w:t>Neurodevelopmental disorders (NDDs) including autism, intellectual disability</w:t>
      </w:r>
      <w:r>
        <w:t xml:space="preserve"> (ID)</w:t>
      </w:r>
      <w:r w:rsidRPr="0049471E">
        <w:t>, and global developmental delay affect more than 3% of children.</w:t>
      </w:r>
      <w:r>
        <w:rPr>
          <w:vertAlign w:val="superscript"/>
        </w:rPr>
        <w:t>1,2</w:t>
      </w:r>
      <w:r w:rsidRPr="0049471E">
        <w:t xml:space="preserve">  Over half of children with autism also have ID. Many individuals with ASD and/or ID are diagnosed with global developmental delay in early childhood.</w:t>
      </w:r>
      <w:r>
        <w:rPr>
          <w:vertAlign w:val="superscript"/>
        </w:rPr>
        <w:t>3</w:t>
      </w:r>
      <w:r w:rsidR="0082085F">
        <w:rPr>
          <w:vertAlign w:val="superscript"/>
        </w:rPr>
        <w:t xml:space="preserve"> </w:t>
      </w:r>
      <w:r w:rsidRPr="0049471E">
        <w:t>NDDs are clinically and genetically heterogeneous, and pathogenic variants in many different genes can cause nearly identical clinical presentations.  Therefore, it is typically necessary to perform testing of multiple genes to identify the underlying genetic cause in an individual with ASD and/or ID.  New genes known to cause NDD are being discovered regularly, making it challenging for clinical laboratories to keep traditional testing panels updated.</w:t>
      </w:r>
      <w:r w:rsidRPr="0049471E">
        <w:rPr>
          <w:vertAlign w:val="superscript"/>
        </w:rPr>
        <w:t>4,5</w:t>
      </w:r>
      <w:r w:rsidRPr="0049471E">
        <w:t xml:space="preserve"> Additionally, interpretation of the clinical significance of </w:t>
      </w:r>
      <w:r w:rsidRPr="0049471E">
        <w:lastRenderedPageBreak/>
        <w:t xml:space="preserve">variants in these newly discovered genes is often difficult in the absence of parental testing to clarify which variants are de novo or inherited. </w:t>
      </w:r>
    </w:p>
    <w:p w:rsidR="0049471E" w:rsidRPr="0049471E" w:rsidRDefault="0049471E" w:rsidP="0049471E">
      <w:pPr>
        <w:pStyle w:val="NoSpacing"/>
      </w:pPr>
    </w:p>
    <w:p w:rsidR="0049471E" w:rsidRPr="0082085F" w:rsidRDefault="0049471E" w:rsidP="0049471E">
      <w:pPr>
        <w:pStyle w:val="NoSpacing"/>
      </w:pPr>
      <w:r w:rsidRPr="0049471E">
        <w:t>To address the challenges with traditional genetic testing approaches for NDDs, the Autism/ID Xpanded Panel uses a trio approach that includes concurrent analysis of the affected proband and both parents, which increases the likelihood of identifying a definitive genetic explanation for ASD and/or ID. The Autism/ID Xpanded Panel includes targ</w:t>
      </w:r>
      <w:r>
        <w:t>eted analysis of a</w:t>
      </w:r>
      <w:r w:rsidRPr="0049471E">
        <w:t xml:space="preserve"> list of approximately 2300 genes currently associated</w:t>
      </w:r>
      <w:r>
        <w:t xml:space="preserve"> with ASD,</w:t>
      </w:r>
      <w:r w:rsidRPr="0049471E">
        <w:t xml:space="preserve"> ID</w:t>
      </w:r>
      <w:r>
        <w:t>, and global developmental delay</w:t>
      </w:r>
      <w:r w:rsidRPr="0049471E">
        <w:t>. The design of the panel allows for a comprehensive, dynamic gene list that is updated regularly to ensure inclusion of genes recent</w:t>
      </w:r>
      <w:r>
        <w:t>ly associated with these phenotypes</w:t>
      </w:r>
      <w:r w:rsidRPr="0049471E">
        <w:t xml:space="preserve">. </w:t>
      </w:r>
      <w:r w:rsidR="0082085F">
        <w:t xml:space="preserve"> </w:t>
      </w:r>
      <w:r w:rsidRPr="0049471E">
        <w:t>The yield is higher with a trio approach compared to the proband-only testing approach that is commonly used for multi-gene testing panels.</w:t>
      </w:r>
      <w:r w:rsidR="0088231D">
        <w:rPr>
          <w:vertAlign w:val="superscript"/>
        </w:rPr>
        <w:t>6</w:t>
      </w:r>
    </w:p>
    <w:p w:rsidR="00DB3B6E" w:rsidRDefault="00DB3B6E" w:rsidP="00AB2F4A">
      <w:pPr>
        <w:pStyle w:val="NoSpacing"/>
      </w:pPr>
    </w:p>
    <w:p w:rsidR="00B374A4" w:rsidRPr="00B374A4" w:rsidRDefault="00776731" w:rsidP="00AB2F4A">
      <w:pPr>
        <w:pStyle w:val="NoSpacing"/>
        <w:rPr>
          <w:b/>
        </w:rPr>
      </w:pPr>
      <w:r>
        <w:rPr>
          <w:b/>
        </w:rPr>
        <w:t xml:space="preserve">Patient Clinical Utility and </w:t>
      </w:r>
      <w:r w:rsidR="00B374A4" w:rsidRPr="00B374A4">
        <w:rPr>
          <w:b/>
        </w:rPr>
        <w:t>Medical Management</w:t>
      </w:r>
      <w:r w:rsidR="00B374A4">
        <w:rPr>
          <w:b/>
        </w:rPr>
        <w:t xml:space="preserve"> Implications</w:t>
      </w:r>
      <w:r w:rsidR="00B374A4" w:rsidRPr="00B374A4">
        <w:rPr>
          <w:b/>
        </w:rPr>
        <w:t xml:space="preserve"> </w:t>
      </w:r>
    </w:p>
    <w:p w:rsidR="0049471E" w:rsidRPr="0082085F" w:rsidRDefault="0049471E" w:rsidP="0049471E">
      <w:pPr>
        <w:pStyle w:val="NoSpacing"/>
        <w:rPr>
          <w:vertAlign w:val="superscript"/>
        </w:rPr>
      </w:pPr>
      <w:r w:rsidRPr="0049471E">
        <w:t>Knowledge of the specific genetic etiology can provide important information about the risk for associated medical and psychiatric problems and provide important information to guide medical management.</w:t>
      </w:r>
      <w:r w:rsidR="0088231D">
        <w:rPr>
          <w:vertAlign w:val="superscript"/>
        </w:rPr>
        <w:t>7-11</w:t>
      </w:r>
      <w:r w:rsidRPr="0049471E">
        <w:t xml:space="preserve">  NDDs may be isolated or may occur in individuals who have a syndromic clinical presentation that also includes birth defects, dysmorphic features, and/or an increased risk for other associated health problems, such as seizures, psychiatric disorders, and vision or hearing problems.  Additionally, in some cases, knowledge of the specific genetic etiology may enable initiation of an effective treatment or may assist in the decision to discontinue a treatment that ineffective or harmful.</w:t>
      </w:r>
      <w:r w:rsidR="0088231D">
        <w:rPr>
          <w:vertAlign w:val="superscript"/>
        </w:rPr>
        <w:t>7,9,11</w:t>
      </w:r>
      <w:r w:rsidRPr="0049471E">
        <w:t xml:space="preserve"> </w:t>
      </w:r>
      <w:r w:rsidR="0082085F" w:rsidRPr="0082085F">
        <w:t>Knowledge of the specific genetic cause of NDDs has been shown to lead to direct changes in medical management in approximately half of individuals who received a genetic diagnosis, including changes to medications, dietary treatments, surgical interventions, surveillance regimens, or preventative measures</w:t>
      </w:r>
      <w:r w:rsidR="0082085F">
        <w:t>.</w:t>
      </w:r>
      <w:r w:rsidR="0088231D">
        <w:rPr>
          <w:vertAlign w:val="superscript"/>
        </w:rPr>
        <w:t>7,10</w:t>
      </w:r>
    </w:p>
    <w:p w:rsidR="00DB3B6E" w:rsidRDefault="00DB3B6E" w:rsidP="00AB2F4A">
      <w:pPr>
        <w:pStyle w:val="NoSpacing"/>
      </w:pPr>
    </w:p>
    <w:p w:rsidR="00887B41" w:rsidRPr="00887B41" w:rsidRDefault="00887B41" w:rsidP="00AB2F4A">
      <w:pPr>
        <w:pStyle w:val="NoSpacing"/>
        <w:rPr>
          <w:color w:val="FF0000"/>
        </w:rPr>
      </w:pPr>
      <w:r>
        <w:rPr>
          <w:color w:val="FF0000"/>
        </w:rPr>
        <w:t xml:space="preserve">Specifically for this patient, the results of </w:t>
      </w:r>
      <w:r w:rsidR="0074159D">
        <w:rPr>
          <w:color w:val="FF0000"/>
        </w:rPr>
        <w:t>this test</w:t>
      </w:r>
      <w:r>
        <w:rPr>
          <w:color w:val="FF0000"/>
        </w:rPr>
        <w:t xml:space="preserve"> will also </w:t>
      </w:r>
      <w:r w:rsidR="00535623">
        <w:rPr>
          <w:color w:val="FF0000"/>
        </w:rPr>
        <w:t>{</w:t>
      </w:r>
      <w:r>
        <w:rPr>
          <w:color w:val="FF0000"/>
        </w:rPr>
        <w:t>ADD ADDITIONAL INFORMATION}</w:t>
      </w:r>
    </w:p>
    <w:p w:rsidR="00B27690" w:rsidRDefault="00B27690" w:rsidP="00AB2F4A">
      <w:pPr>
        <w:pStyle w:val="NoSpacing"/>
      </w:pPr>
    </w:p>
    <w:p w:rsidR="00B374A4" w:rsidRPr="00B374A4" w:rsidRDefault="00B374A4" w:rsidP="00AB2F4A">
      <w:pPr>
        <w:pStyle w:val="NoSpacing"/>
        <w:rPr>
          <w:b/>
        </w:rPr>
      </w:pPr>
      <w:r w:rsidRPr="00B374A4">
        <w:rPr>
          <w:b/>
        </w:rPr>
        <w:t>Summary</w:t>
      </w:r>
    </w:p>
    <w:p w:rsidR="00AB2F4A" w:rsidRDefault="0049471E" w:rsidP="00AB2F4A">
      <w:pPr>
        <w:pStyle w:val="NoSpacing"/>
      </w:pPr>
      <w:r>
        <w:t xml:space="preserve">The </w:t>
      </w:r>
      <w:r w:rsidRPr="00BB1532">
        <w:t>Autism/Intellectual Disability (ID) Xpanded Panel</w:t>
      </w:r>
      <w:r>
        <w:t xml:space="preserve"> </w:t>
      </w:r>
      <w:r w:rsidR="00AB2F4A" w:rsidRPr="00AB2F4A">
        <w:t>at GeneD</w:t>
      </w:r>
      <w:r w:rsidR="00342070">
        <w:t xml:space="preserve">x is a highly sensitive </w:t>
      </w:r>
      <w:r w:rsidR="00AB2F4A" w:rsidRPr="00AB2F4A">
        <w:t>and cost-effective geneti</w:t>
      </w:r>
      <w:r w:rsidR="00342070">
        <w:t>c test</w:t>
      </w:r>
      <w:r w:rsidR="00AB2F4A" w:rsidRPr="00AB2F4A">
        <w:t xml:space="preserve">.  </w:t>
      </w:r>
      <w:r w:rsidR="00FB3BE6" w:rsidRPr="00AB2F4A">
        <w:t>I am requesting coverage for this medically necessary</w:t>
      </w:r>
      <w:r w:rsidR="00205DB4">
        <w:t xml:space="preserve"> test</w:t>
      </w:r>
      <w:r w:rsidR="00FB3BE6" w:rsidRPr="00AB2F4A">
        <w:t xml:space="preserve"> </w:t>
      </w:r>
      <w:r w:rsidR="00E04C9D" w:rsidRPr="00AB2F4A">
        <w:rPr>
          <w:color w:val="000000"/>
        </w:rPr>
        <w:t xml:space="preserve">in order to </w:t>
      </w:r>
      <w:r w:rsidR="00FB3BE6" w:rsidRPr="00AB2F4A">
        <w:rPr>
          <w:color w:val="000000"/>
        </w:rPr>
        <w:t>establish</w:t>
      </w:r>
      <w:r w:rsidR="00E04C9D" w:rsidRPr="00AB2F4A">
        <w:rPr>
          <w:color w:val="000000"/>
        </w:rPr>
        <w:t xml:space="preserve"> appropriate medical management for this patient.</w:t>
      </w:r>
      <w:r w:rsidR="00E04C9D" w:rsidRPr="00AB2F4A">
        <w:t xml:space="preserve">  Without testing, treatment would be suboptimal, subjecting this patient to increased morbidity and potentially early mortality.  </w:t>
      </w:r>
    </w:p>
    <w:p w:rsidR="00205DB4" w:rsidRPr="00AB2F4A" w:rsidRDefault="00205DB4" w:rsidP="00AB2F4A">
      <w:pPr>
        <w:pStyle w:val="NoSpacing"/>
      </w:pPr>
    </w:p>
    <w:p w:rsidR="00AB2F4A" w:rsidRDefault="00AB2F4A" w:rsidP="00AB2F4A">
      <w:pPr>
        <w:pStyle w:val="NoSpacing"/>
      </w:pPr>
      <w:r w:rsidRPr="00AB2F4A">
        <w:t xml:space="preserve">Thank you for your review and consideration.  If you have questions, or if I can be of further assistance, please do not hesitate to call me at </w:t>
      </w:r>
      <w:r w:rsidRPr="00AB2F4A">
        <w:rPr>
          <w:color w:val="FF0000"/>
        </w:rPr>
        <w:t>(XXX) XXX-XXXX</w:t>
      </w:r>
      <w:r>
        <w:t>.</w:t>
      </w:r>
    </w:p>
    <w:p w:rsidR="00205DB4" w:rsidRDefault="00205DB4" w:rsidP="00AB2F4A">
      <w:pPr>
        <w:pStyle w:val="NoSpacing"/>
      </w:pPr>
    </w:p>
    <w:p w:rsidR="00205DB4" w:rsidRDefault="00205DB4" w:rsidP="00AB2F4A">
      <w:pPr>
        <w:pStyle w:val="NoSpacing"/>
      </w:pPr>
      <w:r>
        <w:t>Sincerely,</w:t>
      </w:r>
    </w:p>
    <w:p w:rsidR="00205DB4" w:rsidRDefault="00205DB4" w:rsidP="00AB2F4A">
      <w:pPr>
        <w:pStyle w:val="NoSpacing"/>
      </w:pPr>
    </w:p>
    <w:p w:rsidR="00DB3B6E" w:rsidRDefault="00DB3B6E" w:rsidP="00AB2F4A">
      <w:pPr>
        <w:pStyle w:val="NoSpacing"/>
      </w:pPr>
    </w:p>
    <w:p w:rsidR="00205DB4" w:rsidRPr="00205DB4" w:rsidRDefault="00342070" w:rsidP="00AB2F4A">
      <w:pPr>
        <w:pStyle w:val="NoSpacing"/>
        <w:rPr>
          <w:color w:val="FF0000"/>
        </w:rPr>
      </w:pPr>
      <w:r>
        <w:rPr>
          <w:color w:val="FF0000"/>
        </w:rPr>
        <w:t>Signature</w:t>
      </w:r>
    </w:p>
    <w:p w:rsidR="00C247D1" w:rsidRDefault="00205DB4" w:rsidP="00AB2F4A">
      <w:pPr>
        <w:pStyle w:val="NoSpacing"/>
        <w:rPr>
          <w:color w:val="FF0000"/>
        </w:rPr>
      </w:pPr>
      <w:r w:rsidRPr="00205DB4">
        <w:rPr>
          <w:color w:val="FF0000"/>
        </w:rPr>
        <w:t>Ordering Provider’</w:t>
      </w:r>
      <w:r>
        <w:rPr>
          <w:color w:val="FF0000"/>
        </w:rPr>
        <w:t xml:space="preserve">s Name </w:t>
      </w:r>
    </w:p>
    <w:p w:rsidR="0082085F" w:rsidRDefault="0082085F" w:rsidP="00AB2F4A">
      <w:pPr>
        <w:pStyle w:val="NoSpacing"/>
        <w:rPr>
          <w:color w:val="FF0000"/>
        </w:rPr>
      </w:pPr>
    </w:p>
    <w:p w:rsidR="00454799" w:rsidRPr="0082085F" w:rsidRDefault="00454799" w:rsidP="00454799">
      <w:r w:rsidRPr="0082085F">
        <w:t>References:</w:t>
      </w:r>
    </w:p>
    <w:p w:rsidR="0082085F" w:rsidRPr="0082085F" w:rsidRDefault="0082085F" w:rsidP="0082085F">
      <w:pPr>
        <w:widowControl w:val="0"/>
        <w:numPr>
          <w:ilvl w:val="0"/>
          <w:numId w:val="8"/>
        </w:numPr>
        <w:autoSpaceDE w:val="0"/>
        <w:autoSpaceDN w:val="0"/>
        <w:adjustRightInd w:val="0"/>
        <w:spacing w:after="0" w:line="240" w:lineRule="auto"/>
        <w:rPr>
          <w:rStyle w:val="Hyperlink"/>
          <w:color w:val="auto"/>
          <w:sz w:val="20"/>
          <w:szCs w:val="20"/>
          <w:u w:val="none"/>
        </w:rPr>
      </w:pPr>
      <w:r w:rsidRPr="00DB719B">
        <w:rPr>
          <w:sz w:val="20"/>
          <w:szCs w:val="20"/>
        </w:rPr>
        <w:t xml:space="preserve">CDC (Centers for Disease Control and Prevention) (2014) Morbidity and Mortality Weekly Report 63(SS02) 1-21; </w:t>
      </w:r>
      <w:hyperlink r:id="rId5" w:history="1">
        <w:r w:rsidRPr="00DB719B">
          <w:rPr>
            <w:rStyle w:val="Hyperlink"/>
            <w:sz w:val="20"/>
            <w:szCs w:val="20"/>
          </w:rPr>
          <w:t>www.cdc.gov/mmwr</w:t>
        </w:r>
      </w:hyperlink>
    </w:p>
    <w:p w:rsidR="0082085F" w:rsidRPr="00DB719B" w:rsidRDefault="0082085F" w:rsidP="0082085F">
      <w:pPr>
        <w:widowControl w:val="0"/>
        <w:autoSpaceDE w:val="0"/>
        <w:autoSpaceDN w:val="0"/>
        <w:adjustRightInd w:val="0"/>
        <w:spacing w:after="0" w:line="240" w:lineRule="auto"/>
        <w:ind w:left="720"/>
        <w:rPr>
          <w:sz w:val="20"/>
          <w:szCs w:val="20"/>
        </w:rPr>
      </w:pPr>
    </w:p>
    <w:p w:rsidR="0082085F" w:rsidRDefault="0082085F" w:rsidP="0082085F">
      <w:pPr>
        <w:widowControl w:val="0"/>
        <w:numPr>
          <w:ilvl w:val="0"/>
          <w:numId w:val="8"/>
        </w:numPr>
        <w:autoSpaceDE w:val="0"/>
        <w:autoSpaceDN w:val="0"/>
        <w:adjustRightInd w:val="0"/>
        <w:spacing w:after="0" w:line="240" w:lineRule="auto"/>
        <w:rPr>
          <w:sz w:val="20"/>
          <w:szCs w:val="20"/>
        </w:rPr>
      </w:pPr>
      <w:r w:rsidRPr="00DB719B">
        <w:rPr>
          <w:sz w:val="20"/>
          <w:szCs w:val="20"/>
        </w:rPr>
        <w:t>Mefford H et al.  Genomics, Intellectual Disability, and Autism NEJM 2012 366(8): 733-743.</w:t>
      </w:r>
    </w:p>
    <w:p w:rsidR="0082085F" w:rsidRPr="00DB719B" w:rsidRDefault="0082085F" w:rsidP="0082085F">
      <w:pPr>
        <w:widowControl w:val="0"/>
        <w:autoSpaceDE w:val="0"/>
        <w:autoSpaceDN w:val="0"/>
        <w:adjustRightInd w:val="0"/>
        <w:spacing w:after="0" w:line="240" w:lineRule="auto"/>
        <w:rPr>
          <w:sz w:val="20"/>
          <w:szCs w:val="20"/>
        </w:rPr>
      </w:pPr>
    </w:p>
    <w:p w:rsidR="0082085F" w:rsidRDefault="0082085F" w:rsidP="0082085F">
      <w:pPr>
        <w:widowControl w:val="0"/>
        <w:numPr>
          <w:ilvl w:val="0"/>
          <w:numId w:val="8"/>
        </w:numPr>
        <w:autoSpaceDE w:val="0"/>
        <w:autoSpaceDN w:val="0"/>
        <w:adjustRightInd w:val="0"/>
        <w:spacing w:after="0" w:line="240" w:lineRule="auto"/>
        <w:rPr>
          <w:sz w:val="20"/>
          <w:szCs w:val="20"/>
        </w:rPr>
      </w:pPr>
      <w:r w:rsidRPr="00DB719B">
        <w:rPr>
          <w:sz w:val="20"/>
          <w:szCs w:val="20"/>
        </w:rPr>
        <w:lastRenderedPageBreak/>
        <w:t>Moeschler et al. Comprehensive evaluation the child with intellectual disability or global developmental delay.  Pediatrics 2014 134(3): e903-e918.</w:t>
      </w:r>
    </w:p>
    <w:p w:rsidR="0082085F" w:rsidRPr="00DB719B" w:rsidRDefault="0082085F" w:rsidP="0082085F">
      <w:pPr>
        <w:widowControl w:val="0"/>
        <w:autoSpaceDE w:val="0"/>
        <w:autoSpaceDN w:val="0"/>
        <w:adjustRightInd w:val="0"/>
        <w:spacing w:after="0" w:line="240" w:lineRule="auto"/>
        <w:rPr>
          <w:sz w:val="20"/>
          <w:szCs w:val="20"/>
        </w:rPr>
      </w:pPr>
    </w:p>
    <w:p w:rsidR="0082085F" w:rsidRDefault="0082085F" w:rsidP="0082085F">
      <w:pPr>
        <w:pStyle w:val="ListParagraph"/>
        <w:widowControl w:val="0"/>
        <w:numPr>
          <w:ilvl w:val="0"/>
          <w:numId w:val="8"/>
        </w:numPr>
        <w:autoSpaceDE w:val="0"/>
        <w:autoSpaceDN w:val="0"/>
        <w:adjustRightInd w:val="0"/>
        <w:spacing w:after="0" w:line="240" w:lineRule="auto"/>
        <w:rPr>
          <w:sz w:val="20"/>
          <w:szCs w:val="20"/>
        </w:rPr>
      </w:pPr>
      <w:r w:rsidRPr="00DB719B">
        <w:rPr>
          <w:sz w:val="20"/>
          <w:szCs w:val="20"/>
        </w:rPr>
        <w:t>Fitzgerald et al. Large-scale discovery of novel genetic causes of developmental disorders. Nature 2015 519 (7542):223-8.</w:t>
      </w:r>
    </w:p>
    <w:p w:rsidR="0082085F" w:rsidRPr="0082085F" w:rsidRDefault="0082085F" w:rsidP="0082085F">
      <w:pPr>
        <w:widowControl w:val="0"/>
        <w:autoSpaceDE w:val="0"/>
        <w:autoSpaceDN w:val="0"/>
        <w:adjustRightInd w:val="0"/>
        <w:spacing w:after="0" w:line="240" w:lineRule="auto"/>
        <w:rPr>
          <w:sz w:val="20"/>
          <w:szCs w:val="20"/>
        </w:rPr>
      </w:pPr>
    </w:p>
    <w:p w:rsidR="0082085F" w:rsidRDefault="0082085F" w:rsidP="0082085F">
      <w:pPr>
        <w:pStyle w:val="ListParagraph"/>
        <w:widowControl w:val="0"/>
        <w:numPr>
          <w:ilvl w:val="0"/>
          <w:numId w:val="8"/>
        </w:numPr>
        <w:autoSpaceDE w:val="0"/>
        <w:autoSpaceDN w:val="0"/>
        <w:adjustRightInd w:val="0"/>
        <w:spacing w:after="0" w:line="240" w:lineRule="auto"/>
        <w:rPr>
          <w:sz w:val="20"/>
          <w:szCs w:val="20"/>
        </w:rPr>
      </w:pPr>
      <w:r>
        <w:rPr>
          <w:sz w:val="20"/>
          <w:szCs w:val="20"/>
        </w:rPr>
        <w:t>Vissers LE et al.</w:t>
      </w:r>
      <w:r w:rsidRPr="00DB719B">
        <w:rPr>
          <w:sz w:val="20"/>
          <w:szCs w:val="20"/>
        </w:rPr>
        <w:t xml:space="preserve"> </w:t>
      </w:r>
      <w:r w:rsidRPr="00377BA2">
        <w:rPr>
          <w:sz w:val="20"/>
          <w:szCs w:val="20"/>
        </w:rPr>
        <w:t>Genetic studies in intellectual disability and related disorders.</w:t>
      </w:r>
      <w:r>
        <w:t xml:space="preserve"> </w:t>
      </w:r>
      <w:r w:rsidRPr="00DB719B">
        <w:rPr>
          <w:sz w:val="20"/>
          <w:szCs w:val="20"/>
        </w:rPr>
        <w:t xml:space="preserve">Nat Rev Genet </w:t>
      </w:r>
      <w:r>
        <w:rPr>
          <w:sz w:val="20"/>
          <w:szCs w:val="20"/>
        </w:rPr>
        <w:t>2016 17(1): 9-18.</w:t>
      </w:r>
    </w:p>
    <w:p w:rsidR="0082085F" w:rsidRPr="00377BA2" w:rsidRDefault="0082085F" w:rsidP="0082085F">
      <w:pPr>
        <w:widowControl w:val="0"/>
        <w:autoSpaceDE w:val="0"/>
        <w:autoSpaceDN w:val="0"/>
        <w:adjustRightInd w:val="0"/>
        <w:spacing w:after="0" w:line="240" w:lineRule="auto"/>
        <w:jc w:val="both"/>
        <w:rPr>
          <w:sz w:val="20"/>
          <w:szCs w:val="20"/>
        </w:rPr>
      </w:pPr>
    </w:p>
    <w:p w:rsidR="0082085F" w:rsidRDefault="0082085F" w:rsidP="0082085F">
      <w:pPr>
        <w:widowControl w:val="0"/>
        <w:numPr>
          <w:ilvl w:val="0"/>
          <w:numId w:val="8"/>
        </w:numPr>
        <w:autoSpaceDE w:val="0"/>
        <w:autoSpaceDN w:val="0"/>
        <w:adjustRightInd w:val="0"/>
        <w:spacing w:after="0" w:line="240" w:lineRule="auto"/>
        <w:jc w:val="both"/>
        <w:rPr>
          <w:sz w:val="20"/>
          <w:szCs w:val="20"/>
        </w:rPr>
      </w:pPr>
      <w:r w:rsidRPr="00DB719B">
        <w:rPr>
          <w:sz w:val="20"/>
          <w:szCs w:val="20"/>
        </w:rPr>
        <w:t xml:space="preserve">Retterer K et al. Clinical application of whole-exome sequencing across clinical indications. </w:t>
      </w:r>
      <w:r w:rsidRPr="00BE18DA">
        <w:rPr>
          <w:sz w:val="20"/>
          <w:szCs w:val="20"/>
        </w:rPr>
        <w:t>Genet Med</w:t>
      </w:r>
      <w:r w:rsidRPr="00DB719B">
        <w:rPr>
          <w:i/>
          <w:sz w:val="20"/>
          <w:szCs w:val="20"/>
        </w:rPr>
        <w:t>.</w:t>
      </w:r>
      <w:r w:rsidRPr="00DB719B">
        <w:rPr>
          <w:sz w:val="20"/>
          <w:szCs w:val="20"/>
        </w:rPr>
        <w:t xml:space="preserve"> 2016 18(7):696-704.</w:t>
      </w:r>
    </w:p>
    <w:p w:rsidR="0082085F" w:rsidRPr="00DB719B" w:rsidRDefault="0082085F" w:rsidP="0082085F">
      <w:pPr>
        <w:widowControl w:val="0"/>
        <w:autoSpaceDE w:val="0"/>
        <w:autoSpaceDN w:val="0"/>
        <w:adjustRightInd w:val="0"/>
        <w:spacing w:after="0" w:line="240" w:lineRule="auto"/>
        <w:jc w:val="both"/>
        <w:rPr>
          <w:sz w:val="20"/>
          <w:szCs w:val="20"/>
        </w:rPr>
      </w:pPr>
    </w:p>
    <w:p w:rsidR="0082085F" w:rsidRPr="0082085F" w:rsidRDefault="0082085F" w:rsidP="0082085F">
      <w:pPr>
        <w:widowControl w:val="0"/>
        <w:numPr>
          <w:ilvl w:val="0"/>
          <w:numId w:val="8"/>
        </w:numPr>
        <w:autoSpaceDE w:val="0"/>
        <w:autoSpaceDN w:val="0"/>
        <w:adjustRightInd w:val="0"/>
        <w:spacing w:after="0" w:line="240" w:lineRule="auto"/>
        <w:rPr>
          <w:sz w:val="20"/>
          <w:szCs w:val="20"/>
        </w:rPr>
      </w:pPr>
      <w:r w:rsidRPr="00DB719B">
        <w:rPr>
          <w:sz w:val="20"/>
          <w:szCs w:val="20"/>
        </w:rPr>
        <w:t xml:space="preserve">Thevenon J et al. Diagnostic odyssey in severe neurodevelopmental disorders: toward clinical whole exome sequencing as a first-line diagnostic test.  </w:t>
      </w:r>
      <w:r w:rsidRPr="00DB719B">
        <w:rPr>
          <w:rFonts w:eastAsia="Calibri"/>
          <w:iCs/>
          <w:sz w:val="20"/>
          <w:szCs w:val="20"/>
        </w:rPr>
        <w:t>Clin Genet</w:t>
      </w:r>
      <w:r w:rsidRPr="00DB719B">
        <w:rPr>
          <w:rFonts w:eastAsia="Calibri"/>
          <w:i/>
          <w:iCs/>
          <w:sz w:val="20"/>
          <w:szCs w:val="20"/>
        </w:rPr>
        <w:t xml:space="preserve"> </w:t>
      </w:r>
      <w:r w:rsidRPr="00DB719B">
        <w:rPr>
          <w:rFonts w:eastAsia="Calibri"/>
          <w:iCs/>
          <w:sz w:val="20"/>
          <w:szCs w:val="20"/>
        </w:rPr>
        <w:t>2016 89:700–707</w:t>
      </w:r>
    </w:p>
    <w:p w:rsidR="0082085F" w:rsidRPr="00DB719B" w:rsidRDefault="0082085F" w:rsidP="0082085F">
      <w:pPr>
        <w:widowControl w:val="0"/>
        <w:autoSpaceDE w:val="0"/>
        <w:autoSpaceDN w:val="0"/>
        <w:adjustRightInd w:val="0"/>
        <w:spacing w:after="0" w:line="240" w:lineRule="auto"/>
        <w:rPr>
          <w:sz w:val="20"/>
          <w:szCs w:val="20"/>
        </w:rPr>
      </w:pPr>
    </w:p>
    <w:p w:rsidR="0082085F" w:rsidRPr="00DB719B" w:rsidRDefault="0082085F" w:rsidP="0082085F">
      <w:pPr>
        <w:widowControl w:val="0"/>
        <w:numPr>
          <w:ilvl w:val="0"/>
          <w:numId w:val="8"/>
        </w:numPr>
        <w:autoSpaceDE w:val="0"/>
        <w:autoSpaceDN w:val="0"/>
        <w:adjustRightInd w:val="0"/>
        <w:spacing w:after="0" w:line="240" w:lineRule="auto"/>
        <w:jc w:val="both"/>
        <w:rPr>
          <w:sz w:val="20"/>
          <w:szCs w:val="20"/>
        </w:rPr>
      </w:pPr>
      <w:r w:rsidRPr="00DB719B">
        <w:rPr>
          <w:sz w:val="20"/>
          <w:szCs w:val="20"/>
        </w:rPr>
        <w:t>Soden SE et al. Effectiveness of exome and genome sequencing guided by acuity of illness for diagnosis of</w:t>
      </w:r>
    </w:p>
    <w:p w:rsidR="0082085F" w:rsidRDefault="0082085F" w:rsidP="0082085F">
      <w:pPr>
        <w:spacing w:after="0"/>
        <w:ind w:left="720"/>
        <w:jc w:val="both"/>
        <w:rPr>
          <w:sz w:val="20"/>
          <w:szCs w:val="20"/>
        </w:rPr>
      </w:pPr>
      <w:r w:rsidRPr="00DB719B">
        <w:rPr>
          <w:sz w:val="20"/>
          <w:szCs w:val="20"/>
        </w:rPr>
        <w:t xml:space="preserve">neurodevelopmental disorders. </w:t>
      </w:r>
      <w:r w:rsidRPr="00377BA2">
        <w:rPr>
          <w:sz w:val="20"/>
          <w:szCs w:val="20"/>
        </w:rPr>
        <w:t>Sci Transl Med.</w:t>
      </w:r>
      <w:r w:rsidRPr="00DB719B">
        <w:rPr>
          <w:sz w:val="20"/>
          <w:szCs w:val="20"/>
        </w:rPr>
        <w:t xml:space="preserve"> 2014 3;6(265):265.</w:t>
      </w:r>
    </w:p>
    <w:p w:rsidR="0082085F" w:rsidRPr="00DB719B" w:rsidRDefault="0082085F" w:rsidP="0082085F">
      <w:pPr>
        <w:spacing w:after="0"/>
        <w:jc w:val="both"/>
        <w:rPr>
          <w:sz w:val="20"/>
          <w:szCs w:val="20"/>
        </w:rPr>
      </w:pPr>
    </w:p>
    <w:p w:rsidR="0082085F" w:rsidRDefault="0082085F" w:rsidP="0082085F">
      <w:pPr>
        <w:widowControl w:val="0"/>
        <w:numPr>
          <w:ilvl w:val="0"/>
          <w:numId w:val="8"/>
        </w:numPr>
        <w:autoSpaceDE w:val="0"/>
        <w:autoSpaceDN w:val="0"/>
        <w:adjustRightInd w:val="0"/>
        <w:spacing w:after="0" w:line="240" w:lineRule="auto"/>
        <w:rPr>
          <w:sz w:val="20"/>
          <w:szCs w:val="20"/>
        </w:rPr>
      </w:pPr>
      <w:r w:rsidRPr="00DB719B">
        <w:rPr>
          <w:sz w:val="20"/>
          <w:szCs w:val="20"/>
        </w:rPr>
        <w:t xml:space="preserve">Iglesias A et al. The usefulness of whole-exome sequencing in routine clinical practice. </w:t>
      </w:r>
      <w:r w:rsidRPr="00377BA2">
        <w:rPr>
          <w:sz w:val="20"/>
          <w:szCs w:val="20"/>
        </w:rPr>
        <w:t>Genet Med.</w:t>
      </w:r>
      <w:r w:rsidRPr="00DB719B">
        <w:rPr>
          <w:sz w:val="20"/>
          <w:szCs w:val="20"/>
        </w:rPr>
        <w:t xml:space="preserve"> 2014 16(12):922-31</w:t>
      </w:r>
    </w:p>
    <w:p w:rsidR="0082085F" w:rsidRPr="00DB719B" w:rsidRDefault="0082085F" w:rsidP="0082085F">
      <w:pPr>
        <w:widowControl w:val="0"/>
        <w:autoSpaceDE w:val="0"/>
        <w:autoSpaceDN w:val="0"/>
        <w:adjustRightInd w:val="0"/>
        <w:spacing w:after="0" w:line="240" w:lineRule="auto"/>
        <w:ind w:left="720"/>
        <w:rPr>
          <w:sz w:val="20"/>
          <w:szCs w:val="20"/>
        </w:rPr>
      </w:pPr>
    </w:p>
    <w:p w:rsidR="0082085F" w:rsidRDefault="0082085F" w:rsidP="0082085F">
      <w:pPr>
        <w:widowControl w:val="0"/>
        <w:numPr>
          <w:ilvl w:val="0"/>
          <w:numId w:val="8"/>
        </w:numPr>
        <w:autoSpaceDE w:val="0"/>
        <w:autoSpaceDN w:val="0"/>
        <w:adjustRightInd w:val="0"/>
        <w:spacing w:after="0" w:line="240" w:lineRule="auto"/>
        <w:rPr>
          <w:sz w:val="20"/>
          <w:szCs w:val="20"/>
        </w:rPr>
      </w:pPr>
      <w:r w:rsidRPr="00DB719B">
        <w:rPr>
          <w:sz w:val="20"/>
          <w:szCs w:val="20"/>
        </w:rPr>
        <w:t>Srivastava S et al.  Clinical whole exome sequencing in child neurology practice. Ann Neurol 2015 77(3):553.</w:t>
      </w:r>
    </w:p>
    <w:p w:rsidR="0082085F" w:rsidRDefault="0082085F" w:rsidP="0082085F">
      <w:pPr>
        <w:pStyle w:val="ListParagraph"/>
        <w:spacing w:after="0"/>
        <w:rPr>
          <w:sz w:val="20"/>
          <w:szCs w:val="20"/>
        </w:rPr>
      </w:pPr>
    </w:p>
    <w:p w:rsidR="0082085F" w:rsidRPr="0082085F" w:rsidRDefault="0082085F" w:rsidP="0082085F">
      <w:pPr>
        <w:widowControl w:val="0"/>
        <w:numPr>
          <w:ilvl w:val="0"/>
          <w:numId w:val="8"/>
        </w:numPr>
        <w:autoSpaceDE w:val="0"/>
        <w:autoSpaceDN w:val="0"/>
        <w:adjustRightInd w:val="0"/>
        <w:spacing w:after="0" w:line="240" w:lineRule="auto"/>
        <w:rPr>
          <w:sz w:val="20"/>
          <w:szCs w:val="20"/>
        </w:rPr>
      </w:pPr>
      <w:r w:rsidRPr="0082085F">
        <w:rPr>
          <w:sz w:val="20"/>
          <w:szCs w:val="20"/>
        </w:rPr>
        <w:t>Schaefer et al. Professional Practice and Guidelines Committee. Clinical genetics evaluation in identifying the etiology of autism spectrum disorders: 2013 guideline revisions. Genetics In Medicine: Official Journal Of The American College Of Medical Genetics 2013 15 (5):399-407.</w:t>
      </w:r>
    </w:p>
    <w:p w:rsidR="0082085F" w:rsidRPr="00454799" w:rsidRDefault="0082085F" w:rsidP="00454799">
      <w:pPr>
        <w:rPr>
          <w:sz w:val="18"/>
          <w:szCs w:val="18"/>
        </w:rPr>
      </w:pPr>
    </w:p>
    <w:sectPr w:rsidR="0082085F" w:rsidRPr="00454799" w:rsidSect="00AB2F4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79A9"/>
    <w:multiLevelType w:val="hybridMultilevel"/>
    <w:tmpl w:val="251C19B4"/>
    <w:lvl w:ilvl="0" w:tplc="2E16868C">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36B55"/>
    <w:multiLevelType w:val="hybridMultilevel"/>
    <w:tmpl w:val="D2E0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27BFC"/>
    <w:multiLevelType w:val="hybridMultilevel"/>
    <w:tmpl w:val="6E9E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8269C"/>
    <w:multiLevelType w:val="hybridMultilevel"/>
    <w:tmpl w:val="F218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094533"/>
    <w:multiLevelType w:val="hybridMultilevel"/>
    <w:tmpl w:val="AFB428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4FEF3C70"/>
    <w:multiLevelType w:val="hybridMultilevel"/>
    <w:tmpl w:val="B90E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12427B"/>
    <w:multiLevelType w:val="hybridMultilevel"/>
    <w:tmpl w:val="71BA6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A1373E"/>
    <w:multiLevelType w:val="hybridMultilevel"/>
    <w:tmpl w:val="2796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A07767"/>
    <w:multiLevelType w:val="hybridMultilevel"/>
    <w:tmpl w:val="0AD8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3"/>
  </w:num>
  <w:num w:numId="6">
    <w:abstractNumId w:val="8"/>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activeWritingStyle w:appName="MSWord" w:lang="es-US" w:vendorID="64" w:dllVersion="131078" w:nlCheck="1" w:checkStyle="0"/>
  <w:activeWritingStyle w:appName="MSWord" w:lang="en-US" w:vendorID="64" w:dllVersion="131078" w:nlCheck="1" w:checkStyle="1"/>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A6"/>
    <w:rsid w:val="000B50A3"/>
    <w:rsid w:val="000D05E6"/>
    <w:rsid w:val="000E13FB"/>
    <w:rsid w:val="001109B6"/>
    <w:rsid w:val="00150F55"/>
    <w:rsid w:val="001567B7"/>
    <w:rsid w:val="00205DB4"/>
    <w:rsid w:val="002414B7"/>
    <w:rsid w:val="00253146"/>
    <w:rsid w:val="002A7478"/>
    <w:rsid w:val="002D0B92"/>
    <w:rsid w:val="00301F9D"/>
    <w:rsid w:val="00342070"/>
    <w:rsid w:val="003D0EA6"/>
    <w:rsid w:val="003E2CA8"/>
    <w:rsid w:val="00433DFB"/>
    <w:rsid w:val="00454799"/>
    <w:rsid w:val="00465837"/>
    <w:rsid w:val="0049471E"/>
    <w:rsid w:val="004978D4"/>
    <w:rsid w:val="00510201"/>
    <w:rsid w:val="00535623"/>
    <w:rsid w:val="00543EEA"/>
    <w:rsid w:val="005B76FB"/>
    <w:rsid w:val="006337EC"/>
    <w:rsid w:val="0064562A"/>
    <w:rsid w:val="00652804"/>
    <w:rsid w:val="00653661"/>
    <w:rsid w:val="0071491F"/>
    <w:rsid w:val="0073022E"/>
    <w:rsid w:val="0074159D"/>
    <w:rsid w:val="00776731"/>
    <w:rsid w:val="0082085F"/>
    <w:rsid w:val="00855940"/>
    <w:rsid w:val="008569AB"/>
    <w:rsid w:val="008706C4"/>
    <w:rsid w:val="0088231D"/>
    <w:rsid w:val="00887B41"/>
    <w:rsid w:val="008E7C39"/>
    <w:rsid w:val="00900219"/>
    <w:rsid w:val="00921AF4"/>
    <w:rsid w:val="00AB2F4A"/>
    <w:rsid w:val="00B27690"/>
    <w:rsid w:val="00B374A4"/>
    <w:rsid w:val="00B82599"/>
    <w:rsid w:val="00BB1532"/>
    <w:rsid w:val="00BE244D"/>
    <w:rsid w:val="00C247D1"/>
    <w:rsid w:val="00D17422"/>
    <w:rsid w:val="00D66DD8"/>
    <w:rsid w:val="00DB3B6E"/>
    <w:rsid w:val="00DB690F"/>
    <w:rsid w:val="00DE6040"/>
    <w:rsid w:val="00E04C9D"/>
    <w:rsid w:val="00ED14F6"/>
    <w:rsid w:val="00F1597A"/>
    <w:rsid w:val="00F339A7"/>
    <w:rsid w:val="00F74480"/>
    <w:rsid w:val="00F9401A"/>
    <w:rsid w:val="00FB3BE6"/>
    <w:rsid w:val="00FB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095E7-3817-4318-B43D-24CE7CC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EA6"/>
    <w:pPr>
      <w:spacing w:after="0" w:line="240" w:lineRule="auto"/>
    </w:pPr>
  </w:style>
  <w:style w:type="paragraph" w:styleId="ListParagraph">
    <w:name w:val="List Paragraph"/>
    <w:basedOn w:val="Normal"/>
    <w:uiPriority w:val="34"/>
    <w:qFormat/>
    <w:rsid w:val="00653661"/>
    <w:pPr>
      <w:ind w:left="720"/>
      <w:contextualSpacing/>
    </w:pPr>
  </w:style>
  <w:style w:type="paragraph" w:styleId="BalloonText">
    <w:name w:val="Balloon Text"/>
    <w:basedOn w:val="Normal"/>
    <w:link w:val="BalloonTextChar"/>
    <w:uiPriority w:val="99"/>
    <w:semiHidden/>
    <w:unhideWhenUsed/>
    <w:rsid w:val="002A7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478"/>
    <w:rPr>
      <w:rFonts w:ascii="Segoe UI" w:hAnsi="Segoe UI" w:cs="Segoe UI"/>
      <w:sz w:val="18"/>
      <w:szCs w:val="18"/>
    </w:rPr>
  </w:style>
  <w:style w:type="character" w:styleId="CommentReference">
    <w:name w:val="annotation reference"/>
    <w:basedOn w:val="DefaultParagraphFont"/>
    <w:uiPriority w:val="99"/>
    <w:semiHidden/>
    <w:unhideWhenUsed/>
    <w:rsid w:val="000B50A3"/>
    <w:rPr>
      <w:sz w:val="16"/>
      <w:szCs w:val="16"/>
    </w:rPr>
  </w:style>
  <w:style w:type="paragraph" w:styleId="CommentText">
    <w:name w:val="annotation text"/>
    <w:basedOn w:val="Normal"/>
    <w:link w:val="CommentTextChar"/>
    <w:uiPriority w:val="99"/>
    <w:semiHidden/>
    <w:unhideWhenUsed/>
    <w:rsid w:val="000B50A3"/>
    <w:pPr>
      <w:spacing w:line="240" w:lineRule="auto"/>
    </w:pPr>
    <w:rPr>
      <w:sz w:val="20"/>
      <w:szCs w:val="20"/>
    </w:rPr>
  </w:style>
  <w:style w:type="character" w:customStyle="1" w:styleId="CommentTextChar">
    <w:name w:val="Comment Text Char"/>
    <w:basedOn w:val="DefaultParagraphFont"/>
    <w:link w:val="CommentText"/>
    <w:uiPriority w:val="99"/>
    <w:semiHidden/>
    <w:rsid w:val="000B50A3"/>
    <w:rPr>
      <w:sz w:val="20"/>
      <w:szCs w:val="20"/>
    </w:rPr>
  </w:style>
  <w:style w:type="paragraph" w:styleId="CommentSubject">
    <w:name w:val="annotation subject"/>
    <w:basedOn w:val="CommentText"/>
    <w:next w:val="CommentText"/>
    <w:link w:val="CommentSubjectChar"/>
    <w:uiPriority w:val="99"/>
    <w:semiHidden/>
    <w:unhideWhenUsed/>
    <w:rsid w:val="000B50A3"/>
    <w:rPr>
      <w:b/>
      <w:bCs/>
    </w:rPr>
  </w:style>
  <w:style w:type="character" w:customStyle="1" w:styleId="CommentSubjectChar">
    <w:name w:val="Comment Subject Char"/>
    <w:basedOn w:val="CommentTextChar"/>
    <w:link w:val="CommentSubject"/>
    <w:uiPriority w:val="99"/>
    <w:semiHidden/>
    <w:rsid w:val="000B50A3"/>
    <w:rPr>
      <w:b/>
      <w:bCs/>
      <w:sz w:val="20"/>
      <w:szCs w:val="20"/>
    </w:rPr>
  </w:style>
  <w:style w:type="paragraph" w:styleId="Revision">
    <w:name w:val="Revision"/>
    <w:hidden/>
    <w:uiPriority w:val="99"/>
    <w:semiHidden/>
    <w:rsid w:val="00D66DD8"/>
    <w:pPr>
      <w:spacing w:after="0" w:line="240" w:lineRule="auto"/>
    </w:pPr>
  </w:style>
  <w:style w:type="character" w:styleId="Hyperlink">
    <w:name w:val="Hyperlink"/>
    <w:uiPriority w:val="99"/>
    <w:unhideWhenUsed/>
    <w:rsid w:val="0082085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447709">
      <w:bodyDiv w:val="1"/>
      <w:marLeft w:val="0"/>
      <w:marRight w:val="0"/>
      <w:marTop w:val="0"/>
      <w:marBottom w:val="0"/>
      <w:divBdr>
        <w:top w:val="none" w:sz="0" w:space="0" w:color="auto"/>
        <w:left w:val="none" w:sz="0" w:space="0" w:color="auto"/>
        <w:bottom w:val="none" w:sz="0" w:space="0" w:color="auto"/>
        <w:right w:val="none" w:sz="0" w:space="0" w:color="auto"/>
      </w:divBdr>
    </w:div>
    <w:div w:id="702248718">
      <w:bodyDiv w:val="1"/>
      <w:marLeft w:val="0"/>
      <w:marRight w:val="0"/>
      <w:marTop w:val="0"/>
      <w:marBottom w:val="0"/>
      <w:divBdr>
        <w:top w:val="none" w:sz="0" w:space="0" w:color="auto"/>
        <w:left w:val="none" w:sz="0" w:space="0" w:color="auto"/>
        <w:bottom w:val="none" w:sz="0" w:space="0" w:color="auto"/>
        <w:right w:val="none" w:sz="0" w:space="0" w:color="auto"/>
      </w:divBdr>
    </w:div>
    <w:div w:id="1187598186">
      <w:bodyDiv w:val="1"/>
      <w:marLeft w:val="0"/>
      <w:marRight w:val="0"/>
      <w:marTop w:val="0"/>
      <w:marBottom w:val="0"/>
      <w:divBdr>
        <w:top w:val="none" w:sz="0" w:space="0" w:color="auto"/>
        <w:left w:val="none" w:sz="0" w:space="0" w:color="auto"/>
        <w:bottom w:val="none" w:sz="0" w:space="0" w:color="auto"/>
        <w:right w:val="none" w:sz="0" w:space="0" w:color="auto"/>
      </w:divBdr>
      <w:divsChild>
        <w:div w:id="1366099847">
          <w:marLeft w:val="0"/>
          <w:marRight w:val="0"/>
          <w:marTop w:val="0"/>
          <w:marBottom w:val="0"/>
          <w:divBdr>
            <w:top w:val="none" w:sz="0" w:space="0" w:color="auto"/>
            <w:left w:val="none" w:sz="0" w:space="0" w:color="auto"/>
            <w:bottom w:val="none" w:sz="0" w:space="0" w:color="auto"/>
            <w:right w:val="none" w:sz="0" w:space="0" w:color="auto"/>
          </w:divBdr>
        </w:div>
      </w:divsChild>
    </w:div>
    <w:div w:id="1217931051">
      <w:bodyDiv w:val="1"/>
      <w:marLeft w:val="0"/>
      <w:marRight w:val="0"/>
      <w:marTop w:val="0"/>
      <w:marBottom w:val="0"/>
      <w:divBdr>
        <w:top w:val="none" w:sz="0" w:space="0" w:color="auto"/>
        <w:left w:val="none" w:sz="0" w:space="0" w:color="auto"/>
        <w:bottom w:val="none" w:sz="0" w:space="0" w:color="auto"/>
        <w:right w:val="none" w:sz="0" w:space="0" w:color="auto"/>
      </w:divBdr>
    </w:div>
    <w:div w:id="1462067154">
      <w:bodyDiv w:val="1"/>
      <w:marLeft w:val="0"/>
      <w:marRight w:val="0"/>
      <w:marTop w:val="0"/>
      <w:marBottom w:val="0"/>
      <w:divBdr>
        <w:top w:val="none" w:sz="0" w:space="0" w:color="auto"/>
        <w:left w:val="none" w:sz="0" w:space="0" w:color="auto"/>
        <w:bottom w:val="none" w:sz="0" w:space="0" w:color="auto"/>
        <w:right w:val="none" w:sz="0" w:space="0" w:color="auto"/>
      </w:divBdr>
    </w:div>
    <w:div w:id="15043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dc.gov/mmw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5535</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BioReference Laboratories Inc.</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Klein</dc:creator>
  <cp:keywords/>
  <dc:description/>
  <cp:lastModifiedBy>Heather Soler</cp:lastModifiedBy>
  <cp:revision>2</cp:revision>
  <dcterms:created xsi:type="dcterms:W3CDTF">2021-07-15T21:38:00Z</dcterms:created>
  <dcterms:modified xsi:type="dcterms:W3CDTF">2021-07-15T21:38:00Z</dcterms:modified>
</cp:coreProperties>
</file>