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C57E98">
        <w:rPr>
          <w:b/>
        </w:rPr>
        <w:t xml:space="preserve">ty for the </w:t>
      </w:r>
      <w:r w:rsidR="00C57E98" w:rsidRPr="00C57E98">
        <w:rPr>
          <w:b/>
        </w:rPr>
        <w:t>Dilated Cardiomyopathy (DCM)/Left Ventricular Non-compaction (LVNC)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C57E98">
        <w:t xml:space="preserve">  </w:t>
      </w:r>
      <w:r w:rsidR="00C57E98" w:rsidRPr="00013425">
        <w:t>Dilated Cardiomyopathy (DCM)/Left Ventricular Non-compaction (LVNC) Panel</w:t>
      </w:r>
    </w:p>
    <w:p w:rsidR="00F9401A" w:rsidRPr="00C57E98" w:rsidRDefault="002D0B92" w:rsidP="00AB2F4A">
      <w:pPr>
        <w:pStyle w:val="NoSpacing"/>
      </w:pPr>
      <w:r w:rsidRPr="0064562A">
        <w:rPr>
          <w:b/>
        </w:rPr>
        <w:t>CPT Codes</w:t>
      </w:r>
      <w:r w:rsidR="00FB3BE6" w:rsidRPr="0064562A">
        <w:rPr>
          <w:b/>
        </w:rPr>
        <w:t>:</w:t>
      </w:r>
      <w:r w:rsidR="00C57E98">
        <w:rPr>
          <w:b/>
        </w:rPr>
        <w:t xml:space="preserve">  </w:t>
      </w:r>
      <w:r w:rsidR="00C57E98" w:rsidRPr="00C57E98">
        <w:t>81405x1, 81406x1, 81407x2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C57E98">
        <w:t xml:space="preserve">quest full coverage for the </w:t>
      </w:r>
      <w:r w:rsidR="00C57E98" w:rsidRPr="00013425">
        <w:t>Dilated Cardiomyopathy (DCM)/Left Ventricular Non-compaction (LVNC) Panel</w:t>
      </w:r>
      <w:r w:rsidR="004978D4">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173A59" w:rsidRPr="00013425" w:rsidRDefault="00173A59" w:rsidP="00173A59">
      <w:pPr>
        <w:spacing w:after="240"/>
      </w:pPr>
      <w:r w:rsidRPr="00013425">
        <w:t xml:space="preserve">The DCM/LVNC Panel includes germline analysis of genes involved in conditions that include severe cardiovascular manifestations, including sudden cardiac arrest and sudden cardiac death. Panel testing includes both sequencing and deletion/duplication analysis of </w:t>
      </w:r>
      <w:r>
        <w:t>multiple genes simultaneously.</w:t>
      </w:r>
    </w:p>
    <w:p w:rsidR="00173A59" w:rsidRPr="00173A59" w:rsidRDefault="00173A59" w:rsidP="00173A59">
      <w:pPr>
        <w:pStyle w:val="Default"/>
        <w:spacing w:after="240"/>
        <w:rPr>
          <w:rFonts w:asciiTheme="minorHAnsi" w:hAnsiTheme="minorHAnsi" w:cs="Times New Roman"/>
          <w:sz w:val="22"/>
          <w:szCs w:val="22"/>
        </w:rPr>
      </w:pPr>
      <w:r w:rsidRPr="00173A59">
        <w:rPr>
          <w:rFonts w:asciiTheme="minorHAnsi" w:hAnsiTheme="minorHAnsi" w:cs="Times New Roman"/>
          <w:sz w:val="22"/>
          <w:szCs w:val="22"/>
        </w:rPr>
        <w:t xml:space="preserve">DCM and LVNC are diseases of the heart muscle that have overlapping clinical presentations.  Most individuals present with one or more of the following: heart failure with symptoms of congestion </w:t>
      </w:r>
      <w:r w:rsidRPr="00173A59">
        <w:rPr>
          <w:rFonts w:asciiTheme="minorHAnsi" w:hAnsiTheme="minorHAnsi" w:cs="Times New Roman"/>
          <w:sz w:val="22"/>
          <w:szCs w:val="22"/>
        </w:rPr>
        <w:lastRenderedPageBreak/>
        <w:t>(edema, orthopnea or paroxysmal dyspnea); reduced cardiac output, resulting in fatigue or dyspnea on exertion, arrhythmias and/or conduction system disease; thromboembolic disease or stroke, mainly from left ventricular mural thrombus.</w:t>
      </w:r>
      <w:r w:rsidRPr="00173A59">
        <w:rPr>
          <w:rFonts w:asciiTheme="minorHAnsi" w:hAnsiTheme="minorHAnsi" w:cs="Times New Roman"/>
          <w:sz w:val="22"/>
          <w:szCs w:val="22"/>
          <w:vertAlign w:val="superscript"/>
        </w:rPr>
        <w:t>1,2,3</w:t>
      </w:r>
      <w:r w:rsidRPr="00173A59">
        <w:rPr>
          <w:rFonts w:asciiTheme="minorHAnsi" w:hAnsiTheme="minorHAnsi" w:cs="Times New Roman"/>
          <w:sz w:val="22"/>
          <w:szCs w:val="22"/>
        </w:rPr>
        <w:t xml:space="preserve"> However, there is a broad range of clinical severity, from asymptomatic disease to progressive de</w:t>
      </w:r>
      <w:r>
        <w:rPr>
          <w:rFonts w:asciiTheme="minorHAnsi" w:hAnsiTheme="minorHAnsi" w:cs="Times New Roman"/>
          <w:sz w:val="22"/>
          <w:szCs w:val="22"/>
        </w:rPr>
        <w:t>terioration of cardiac function</w:t>
      </w:r>
      <w:r w:rsidRPr="00173A59">
        <w:rPr>
          <w:rFonts w:asciiTheme="minorHAnsi" w:hAnsiTheme="minorHAnsi" w:cs="Times New Roman"/>
          <w:sz w:val="22"/>
          <w:szCs w:val="22"/>
        </w:rPr>
        <w:t xml:space="preserve"> and even sudden cardiac death.</w:t>
      </w:r>
    </w:p>
    <w:p w:rsidR="00DB3B6E" w:rsidRDefault="00173A59" w:rsidP="00173A59">
      <w:pPr>
        <w:pStyle w:val="Default"/>
        <w:spacing w:after="240"/>
        <w:rPr>
          <w:rFonts w:asciiTheme="minorHAnsi" w:hAnsiTheme="minorHAnsi" w:cs="Times New Roman"/>
          <w:sz w:val="22"/>
          <w:szCs w:val="22"/>
        </w:rPr>
      </w:pPr>
      <w:r w:rsidRPr="00173A59">
        <w:rPr>
          <w:rFonts w:asciiTheme="minorHAnsi" w:hAnsiTheme="minorHAnsi" w:cs="Times New Roman"/>
          <w:sz w:val="22"/>
          <w:szCs w:val="22"/>
        </w:rPr>
        <w:t xml:space="preserve">Diagnosis of DCM and LVNC can most often be established with noninvasive cardiac imaging, including echocardiography and/or cardiac magnetic resonance imaging (cardiac MRI). DCM is characterized by left ventricular enlargement and systolic dysfunction, resulting in a reduction in the myocardial force of contraction. LVNC is characterized by abnormal </w:t>
      </w:r>
      <w:proofErr w:type="spellStart"/>
      <w:r w:rsidRPr="00173A59">
        <w:rPr>
          <w:rFonts w:asciiTheme="minorHAnsi" w:hAnsiTheme="minorHAnsi" w:cs="Times New Roman"/>
          <w:sz w:val="22"/>
          <w:szCs w:val="22"/>
        </w:rPr>
        <w:t>trabeculations</w:t>
      </w:r>
      <w:proofErr w:type="spellEnd"/>
      <w:r w:rsidRPr="00173A59">
        <w:rPr>
          <w:rFonts w:asciiTheme="minorHAnsi" w:hAnsiTheme="minorHAnsi" w:cs="Times New Roman"/>
          <w:sz w:val="22"/>
          <w:szCs w:val="22"/>
        </w:rPr>
        <w:t xml:space="preserve"> in the left ventricle, most frequently at the apex. While DCM and LVNC can often be differentiated by cardiac imaging, differentiating between the two disorders can be challenging in some cases.</w:t>
      </w:r>
      <w:r w:rsidRPr="00173A59">
        <w:rPr>
          <w:rFonts w:asciiTheme="minorHAnsi" w:hAnsiTheme="minorHAnsi" w:cs="Times New Roman"/>
          <w:sz w:val="22"/>
          <w:szCs w:val="22"/>
          <w:vertAlign w:val="superscript"/>
        </w:rPr>
        <w:t>4</w:t>
      </w:r>
      <w:r w:rsidRPr="00173A59">
        <w:rPr>
          <w:rFonts w:asciiTheme="minorHAnsi" w:hAnsiTheme="minorHAnsi" w:cs="Times New Roman"/>
          <w:sz w:val="22"/>
          <w:szCs w:val="22"/>
        </w:rPr>
        <w:t xml:space="preserve"> </w:t>
      </w:r>
      <w:proofErr w:type="gramStart"/>
      <w:r w:rsidRPr="00173A59">
        <w:rPr>
          <w:rFonts w:asciiTheme="minorHAnsi" w:hAnsiTheme="minorHAnsi" w:cs="Times New Roman"/>
          <w:sz w:val="22"/>
          <w:szCs w:val="22"/>
        </w:rPr>
        <w:t>Additionally</w:t>
      </w:r>
      <w:proofErr w:type="gramEnd"/>
      <w:r w:rsidRPr="00173A59">
        <w:rPr>
          <w:rFonts w:asciiTheme="minorHAnsi" w:hAnsiTheme="minorHAnsi" w:cs="Times New Roman"/>
          <w:sz w:val="22"/>
          <w:szCs w:val="22"/>
        </w:rPr>
        <w:t>, imaging results may be absent, subtle, or non-specific. Therefore, molecular diagnosis with genetic testing aids in diagnosis, management and establishing recurrence risk for family members.</w:t>
      </w:r>
      <w:r w:rsidR="00FE2D91">
        <w:rPr>
          <w:rFonts w:asciiTheme="minorHAnsi" w:hAnsiTheme="minorHAnsi" w:cs="Times New Roman"/>
          <w:sz w:val="22"/>
          <w:szCs w:val="22"/>
        </w:rPr>
        <w:t xml:space="preserve">  </w:t>
      </w:r>
      <w:r w:rsidRPr="00173A59">
        <w:rPr>
          <w:rFonts w:asciiTheme="minorHAnsi" w:hAnsiTheme="minorHAnsi" w:cs="Times New Roman"/>
          <w:sz w:val="22"/>
          <w:szCs w:val="22"/>
        </w:rPr>
        <w:t xml:space="preserve">Dilated cardiomyopathy can be inherited in an autosomal dominant, autosomal recessive, X-linked, or mitochondrial manner. </w:t>
      </w:r>
    </w:p>
    <w:p w:rsidR="00FE2D91" w:rsidRDefault="00FE2D91" w:rsidP="00FE2D91">
      <w:pPr>
        <w:spacing w:after="240"/>
      </w:pPr>
      <w:r>
        <w:t>Multiple national and international medical societies have published guidelines that recommend genetic testing for DCM and other cardiomyopathies:</w:t>
      </w:r>
    </w:p>
    <w:p w:rsidR="00FE2D91" w:rsidRDefault="00FE2D91" w:rsidP="00FE2D91">
      <w:pPr>
        <w:pStyle w:val="ListParagraph"/>
        <w:numPr>
          <w:ilvl w:val="0"/>
          <w:numId w:val="10"/>
        </w:numPr>
        <w:spacing w:after="240"/>
      </w:pPr>
      <w:r>
        <w:t>In 2018, the Heart Failure Society of America (HFSA) published a guideline in conjunction with the American College of Medical Genetics and Genomics (ACMG) that recommends genetic testing for cardiomyopathies using multi-gene testing panels.  The recommendation cites studies demonstrating the cost-effectiveness of genetic testing, the importance of results in determining specific interventions that can improve survival and reduce morbidity, and the benefits of cascade screening for family members.</w:t>
      </w:r>
      <w:r w:rsidRPr="008850C6">
        <w:rPr>
          <w:vertAlign w:val="superscript"/>
        </w:rPr>
        <w:t>10</w:t>
      </w:r>
      <w:r>
        <w:t xml:space="preserve"> Genetic testing for LVNC is recommended when it occurs in conjunction with DCM or other cardiomyopathies.</w:t>
      </w:r>
      <w:r w:rsidRPr="008850C6">
        <w:rPr>
          <w:vertAlign w:val="superscript"/>
        </w:rPr>
        <w:t>10</w:t>
      </w:r>
      <w:r>
        <w:t xml:space="preserve">  </w:t>
      </w:r>
    </w:p>
    <w:p w:rsidR="00FE2D91" w:rsidRPr="00FE2D91" w:rsidRDefault="00FE2D91" w:rsidP="00173A59">
      <w:pPr>
        <w:pStyle w:val="ListParagraph"/>
        <w:numPr>
          <w:ilvl w:val="0"/>
          <w:numId w:val="10"/>
        </w:numPr>
        <w:spacing w:after="240"/>
      </w:pPr>
      <w:r w:rsidRPr="009010A6">
        <w:t xml:space="preserve">The </w:t>
      </w:r>
      <w:r>
        <w:t>Heart Rhythm Society / European Heart Rhythm Association (</w:t>
      </w:r>
      <w:r w:rsidRPr="009010A6">
        <w:t>HRS/EHRA</w:t>
      </w:r>
      <w:r>
        <w:t>)</w:t>
      </w:r>
      <w:r w:rsidRPr="007E6F57">
        <w:t xml:space="preserve"> </w:t>
      </w:r>
      <w:r w:rsidRPr="00013425">
        <w:t xml:space="preserve">Expert Consensus Statement on the State of Genetic Testing for the </w:t>
      </w:r>
      <w:proofErr w:type="spellStart"/>
      <w:r w:rsidRPr="00013425">
        <w:t>Channelopathies</w:t>
      </w:r>
      <w:proofErr w:type="spellEnd"/>
      <w:r w:rsidRPr="00013425">
        <w:t xml:space="preserve"> and Cardiomyopathies states that comprehensive or targeted DCM genetic testing is recommended, and comprehensive or targeted genetic testing can be useful for patients satisfying task force diagnostic criteria LVNC.</w:t>
      </w:r>
      <w:r w:rsidRPr="008850C6">
        <w:rPr>
          <w:vertAlign w:val="superscript"/>
        </w:rPr>
        <w:t>11</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104CFA" w:rsidRDefault="00173A59" w:rsidP="00173A59">
      <w:pPr>
        <w:spacing w:after="240"/>
      </w:pPr>
      <w:r>
        <w:t>T</w:t>
      </w:r>
      <w:r w:rsidRPr="00013425">
        <w:t>he results</w:t>
      </w:r>
      <w:r>
        <w:t xml:space="preserve"> of this testing</w:t>
      </w:r>
      <w:r w:rsidRPr="00013425">
        <w:t xml:space="preserve"> will guide appropriate medical management for this patient, including surveillance, preventive measures, and medical and surgical treatment</w:t>
      </w:r>
      <w:r>
        <w:t xml:space="preserve">. </w:t>
      </w:r>
      <w:r w:rsidRPr="00013425">
        <w:t>Treatment for cardiomyopathy and surveillance for progression is c</w:t>
      </w:r>
      <w:r>
        <w:t>ritical</w:t>
      </w:r>
      <w:r w:rsidRPr="00013425">
        <w:t xml:space="preserve"> and is strongly influenced by knowledge of the underlying genetic cause.</w:t>
      </w:r>
      <w:r w:rsidRPr="00013425">
        <w:rPr>
          <w:vertAlign w:val="superscript"/>
        </w:rPr>
        <w:t>1</w:t>
      </w:r>
      <w:proofErr w:type="gramStart"/>
      <w:r w:rsidRPr="00013425">
        <w:rPr>
          <w:vertAlign w:val="superscript"/>
        </w:rPr>
        <w:t>,2</w:t>
      </w:r>
      <w:proofErr w:type="gramEnd"/>
      <w:r>
        <w:t xml:space="preserve"> </w:t>
      </w:r>
    </w:p>
    <w:p w:rsidR="00173A59" w:rsidRPr="00446865" w:rsidRDefault="00104CFA" w:rsidP="00173A59">
      <w:pPr>
        <w:spacing w:after="240"/>
        <w:rPr>
          <w:vertAlign w:val="superscript"/>
        </w:rPr>
      </w:pPr>
      <w:r w:rsidRPr="00E04209">
        <w:t>Manag</w:t>
      </w:r>
      <w:r>
        <w:t>ement for dilated cardiomyopathy is summarized in</w:t>
      </w:r>
      <w:r w:rsidRPr="00E04209">
        <w:t xml:space="preserve"> specific consensus document</w:t>
      </w:r>
      <w:r>
        <w:t>s</w:t>
      </w:r>
      <w:r w:rsidRPr="00E04209">
        <w:t xml:space="preserve"> from the</w:t>
      </w:r>
      <w:r>
        <w:t xml:space="preserve"> American College of Cardiology Foundation / American Heart Association (ACCF/AHA), the</w:t>
      </w:r>
      <w:r w:rsidRPr="00E04209">
        <w:t xml:space="preserve"> European Society of Cardiology (ESC)</w:t>
      </w:r>
      <w:r>
        <w:t>, the Heart Failure Society of America (HFSA).</w:t>
      </w:r>
      <w:r>
        <w:rPr>
          <w:vertAlign w:val="superscript"/>
        </w:rPr>
        <w:t>12</w:t>
      </w:r>
      <w:r w:rsidR="00446865">
        <w:rPr>
          <w:vertAlign w:val="superscript"/>
        </w:rPr>
        <w:t xml:space="preserve">-14 </w:t>
      </w:r>
      <w:r w:rsidR="00173A59" w:rsidRPr="00013425">
        <w:t>Patients with DCM can be offered pharmacological treatments such as beta blockers and L-type calcium channel blockers, as well as prevention of primary manifestations such as ICD therapy for patients at increased risk for sudden cardiac death.</w:t>
      </w:r>
      <w:r w:rsidR="00173A59" w:rsidRPr="00013425">
        <w:rPr>
          <w:vertAlign w:val="superscript"/>
        </w:rPr>
        <w:t>1</w:t>
      </w:r>
      <w:r w:rsidR="00173A59" w:rsidRPr="00013425">
        <w:t xml:space="preserve"> </w:t>
      </w:r>
      <w:r w:rsidR="00173A59">
        <w:t>Additionally, k</w:t>
      </w:r>
      <w:r w:rsidR="00173A59" w:rsidRPr="00013425">
        <w:t xml:space="preserve">nowledge of the specific genetic cause may impact decisions </w:t>
      </w:r>
      <w:r w:rsidR="00173A59">
        <w:t>about the timing of treatment.</w:t>
      </w:r>
      <w:r w:rsidR="00173A59" w:rsidRPr="00013425">
        <w:rPr>
          <w:vertAlign w:val="superscript"/>
        </w:rPr>
        <w:t>5</w:t>
      </w:r>
      <w:r w:rsidR="00173A59">
        <w:t xml:space="preserve"> </w:t>
      </w:r>
      <w:r w:rsidR="00173A59" w:rsidRPr="00013425">
        <w:t>Cardiac transplantation for progressive disease and additional lifestyle recommendations such as contraindications for pregnancy and pregnancy management to optimize outcomes for both the mother and child must also be considered.</w:t>
      </w:r>
      <w:r w:rsidR="00173A59" w:rsidRPr="00013425">
        <w:rPr>
          <w:vertAlign w:val="superscript"/>
        </w:rPr>
        <w:t>1,3</w:t>
      </w:r>
      <w:r w:rsidR="008850C6">
        <w:t xml:space="preserve"> </w:t>
      </w:r>
      <w:r w:rsidR="00173A59" w:rsidRPr="00013425">
        <w:t xml:space="preserve">DCM/LVNC can also be a presenting </w:t>
      </w:r>
      <w:r w:rsidR="00173A59" w:rsidRPr="00013425">
        <w:lastRenderedPageBreak/>
        <w:t xml:space="preserve">feature of other inherited disorders, such as </w:t>
      </w:r>
      <w:proofErr w:type="spellStart"/>
      <w:r w:rsidR="00173A59" w:rsidRPr="00013425">
        <w:t>Danon</w:t>
      </w:r>
      <w:proofErr w:type="spellEnd"/>
      <w:r w:rsidR="00173A59" w:rsidRPr="00013425">
        <w:t xml:space="preserve"> disease, </w:t>
      </w:r>
      <w:proofErr w:type="spellStart"/>
      <w:r w:rsidR="00173A59" w:rsidRPr="00013425">
        <w:t>Carvajal</w:t>
      </w:r>
      <w:proofErr w:type="spellEnd"/>
      <w:r w:rsidR="00173A59" w:rsidRPr="00013425">
        <w:t xml:space="preserve"> syndrome, mitochondrial myopathy, or </w:t>
      </w:r>
      <w:r w:rsidR="00173A59" w:rsidRPr="00013425">
        <w:rPr>
          <w:color w:val="000000"/>
        </w:rPr>
        <w:t>Emery-</w:t>
      </w:r>
      <w:proofErr w:type="spellStart"/>
      <w:r w:rsidR="00173A59" w:rsidRPr="00013425">
        <w:rPr>
          <w:color w:val="000000"/>
        </w:rPr>
        <w:t>Dreifuss</w:t>
      </w:r>
      <w:proofErr w:type="spellEnd"/>
      <w:r w:rsidR="00173A59" w:rsidRPr="00013425">
        <w:rPr>
          <w:color w:val="000000"/>
        </w:rPr>
        <w:t xml:space="preserve"> </w:t>
      </w:r>
      <w:r w:rsidR="00173A59" w:rsidRPr="00013425">
        <w:t>muscular dystrophy.</w:t>
      </w:r>
      <w:r w:rsidR="00173A59" w:rsidRPr="00013425">
        <w:rPr>
          <w:vertAlign w:val="superscript"/>
        </w:rPr>
        <w:t>2,6,7</w:t>
      </w:r>
      <w:r w:rsidR="00173A59">
        <w:rPr>
          <w:vertAlign w:val="superscript"/>
        </w:rPr>
        <w:t>,8,9</w:t>
      </w:r>
      <w:r w:rsidR="00173A59" w:rsidRPr="00013425">
        <w:rPr>
          <w:vertAlign w:val="superscript"/>
        </w:rPr>
        <w:t xml:space="preserve"> </w:t>
      </w:r>
      <w:r w:rsidR="00173A59" w:rsidRPr="00013425">
        <w:t xml:space="preserve">These disorders, which may be subtle or difficult to diagnose without genetic testing, require further medical management, screening, and diagnosis.  </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C57E98" w:rsidP="00AB2F4A">
      <w:pPr>
        <w:pStyle w:val="NoSpacing"/>
      </w:pPr>
      <w:r>
        <w:t xml:space="preserve">The </w:t>
      </w:r>
      <w:r w:rsidRPr="00013425">
        <w:t>Dilated Cardiomyopathy (DCM)/Left Ventricular Non-compaction (LVNC) Panel</w:t>
      </w:r>
      <w:r>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8850C6" w:rsidRDefault="00454799" w:rsidP="00454799">
      <w:r w:rsidRPr="008850C6">
        <w:t>References:</w:t>
      </w:r>
    </w:p>
    <w:p w:rsidR="008850C6" w:rsidRPr="00446865" w:rsidRDefault="008850C6" w:rsidP="008850C6">
      <w:pPr>
        <w:pStyle w:val="ListParagraph"/>
        <w:widowControl w:val="0"/>
        <w:numPr>
          <w:ilvl w:val="0"/>
          <w:numId w:val="11"/>
        </w:numPr>
        <w:autoSpaceDE w:val="0"/>
        <w:autoSpaceDN w:val="0"/>
        <w:adjustRightInd w:val="0"/>
        <w:spacing w:after="0" w:line="240" w:lineRule="auto"/>
        <w:rPr>
          <w:rStyle w:val="Hyperlink"/>
          <w:color w:val="auto"/>
          <w:u w:val="none"/>
        </w:rPr>
      </w:pPr>
      <w:r w:rsidRPr="000E1901">
        <w:t xml:space="preserve">Hershberger RE, Morales A. Dilated Cardiomyopathy Overview. 2007 Jul 27 [Updated 2018 Aug 23]. In: Adam MP, </w:t>
      </w:r>
      <w:proofErr w:type="spellStart"/>
      <w:r w:rsidRPr="000E1901">
        <w:t>Ardinger</w:t>
      </w:r>
      <w:proofErr w:type="spellEnd"/>
      <w:r w:rsidRPr="000E1901">
        <w:t xml:space="preserve"> HH, </w:t>
      </w:r>
      <w:proofErr w:type="spellStart"/>
      <w:r w:rsidRPr="000E1901">
        <w:t>Pagon</w:t>
      </w:r>
      <w:proofErr w:type="spellEnd"/>
      <w:r w:rsidRPr="000E1901">
        <w:t xml:space="preserve"> RA, et al., editors. </w:t>
      </w:r>
      <w:proofErr w:type="spellStart"/>
      <w:r w:rsidRPr="000E1901">
        <w:t>GeneReviews</w:t>
      </w:r>
      <w:proofErr w:type="spellEnd"/>
      <w:r w:rsidRPr="000E1901">
        <w:t xml:space="preserve">® [Internet]. Seattle (WA): University of Washington, Seattle; 1993-2018. </w:t>
      </w:r>
      <w:r w:rsidRPr="000E1901">
        <w:rPr>
          <w:rStyle w:val="bkciteavail"/>
        </w:rPr>
        <w:t xml:space="preserve">Available from: </w:t>
      </w:r>
      <w:hyperlink r:id="rId5" w:history="1">
        <w:r w:rsidRPr="000E1901">
          <w:rPr>
            <w:rStyle w:val="Hyperlink"/>
          </w:rPr>
          <w:t>https://www.ncbi.nlm.nih.gov/books/NBK1309/</w:t>
        </w:r>
      </w:hyperlink>
    </w:p>
    <w:p w:rsidR="00446865" w:rsidRPr="000E1901" w:rsidRDefault="00446865" w:rsidP="00446865">
      <w:pPr>
        <w:pStyle w:val="ListParagraph"/>
        <w:widowControl w:val="0"/>
        <w:autoSpaceDE w:val="0"/>
        <w:autoSpaceDN w:val="0"/>
        <w:adjustRightInd w:val="0"/>
        <w:spacing w:after="0" w:line="240" w:lineRule="auto"/>
        <w:rPr>
          <w:rStyle w:val="bkciteavail"/>
        </w:rPr>
      </w:pPr>
    </w:p>
    <w:p w:rsidR="008850C6" w:rsidRDefault="008850C6" w:rsidP="008850C6">
      <w:pPr>
        <w:pStyle w:val="ListParagraph"/>
        <w:widowControl w:val="0"/>
        <w:numPr>
          <w:ilvl w:val="0"/>
          <w:numId w:val="11"/>
        </w:numPr>
        <w:autoSpaceDE w:val="0"/>
        <w:autoSpaceDN w:val="0"/>
        <w:adjustRightInd w:val="0"/>
        <w:spacing w:after="0" w:line="240" w:lineRule="auto"/>
      </w:pPr>
      <w:proofErr w:type="spellStart"/>
      <w:r w:rsidRPr="000E1901">
        <w:t>Callis</w:t>
      </w:r>
      <w:proofErr w:type="spellEnd"/>
      <w:r w:rsidRPr="000E1901">
        <w:t xml:space="preserve"> et al. (2010) Evolving molecular diagnostics for familial cardiomyopathies: at the heart of it all. </w:t>
      </w:r>
      <w:r w:rsidRPr="000E1901">
        <w:rPr>
          <w:i/>
        </w:rPr>
        <w:t>Expert Review Of Molecular Diagnostics</w:t>
      </w:r>
      <w:r w:rsidRPr="000E1901">
        <w:t xml:space="preserve"> 10 (3):329-51 (PMID: 20370590)</w:t>
      </w:r>
    </w:p>
    <w:p w:rsidR="00446865" w:rsidRPr="000E1901" w:rsidRDefault="00446865" w:rsidP="00446865">
      <w:pPr>
        <w:widowControl w:val="0"/>
        <w:autoSpaceDE w:val="0"/>
        <w:autoSpaceDN w:val="0"/>
        <w:adjustRightInd w:val="0"/>
        <w:spacing w:after="0" w:line="240" w:lineRule="auto"/>
      </w:pPr>
    </w:p>
    <w:p w:rsidR="008850C6" w:rsidRDefault="008850C6" w:rsidP="008850C6">
      <w:pPr>
        <w:pStyle w:val="ListParagraph"/>
        <w:widowControl w:val="0"/>
        <w:numPr>
          <w:ilvl w:val="0"/>
          <w:numId w:val="11"/>
        </w:numPr>
        <w:autoSpaceDE w:val="0"/>
        <w:autoSpaceDN w:val="0"/>
        <w:adjustRightInd w:val="0"/>
        <w:spacing w:after="0" w:line="240" w:lineRule="auto"/>
      </w:pPr>
      <w:proofErr w:type="spellStart"/>
      <w:r w:rsidRPr="000E1901">
        <w:t>Yancy</w:t>
      </w:r>
      <w:proofErr w:type="spellEnd"/>
      <w:r w:rsidRPr="000E1901">
        <w:t xml:space="preserve"> et al. (2013) 2013 ACCF/AHA guideline for the management of heart failure: a report of the American College of Cardiology Foundation/American Heart Association Task Force on Practice Guidelines.  </w:t>
      </w:r>
      <w:r w:rsidRPr="000E1901">
        <w:rPr>
          <w:i/>
        </w:rPr>
        <w:t xml:space="preserve">J. Am. Coll. </w:t>
      </w:r>
      <w:proofErr w:type="spellStart"/>
      <w:r w:rsidRPr="000E1901">
        <w:rPr>
          <w:i/>
        </w:rPr>
        <w:t>Cardiol</w:t>
      </w:r>
      <w:proofErr w:type="spellEnd"/>
      <w:r w:rsidRPr="000E1901">
        <w:rPr>
          <w:i/>
        </w:rPr>
        <w:t>.</w:t>
      </w:r>
      <w:r w:rsidRPr="000E1901">
        <w:t xml:space="preserve"> 62 (16):e147-239 (PMID: 23747642)</w:t>
      </w:r>
    </w:p>
    <w:p w:rsidR="00446865" w:rsidRPr="000E1901" w:rsidRDefault="00446865" w:rsidP="00446865">
      <w:pPr>
        <w:widowControl w:val="0"/>
        <w:autoSpaceDE w:val="0"/>
        <w:autoSpaceDN w:val="0"/>
        <w:adjustRightInd w:val="0"/>
        <w:spacing w:after="0" w:line="240" w:lineRule="auto"/>
      </w:pPr>
    </w:p>
    <w:p w:rsidR="008850C6" w:rsidRDefault="008850C6" w:rsidP="008850C6">
      <w:pPr>
        <w:pStyle w:val="ListParagraph"/>
        <w:widowControl w:val="0"/>
        <w:numPr>
          <w:ilvl w:val="0"/>
          <w:numId w:val="11"/>
        </w:numPr>
        <w:autoSpaceDE w:val="0"/>
        <w:autoSpaceDN w:val="0"/>
        <w:adjustRightInd w:val="0"/>
        <w:spacing w:after="0" w:line="240" w:lineRule="auto"/>
      </w:pPr>
      <w:proofErr w:type="spellStart"/>
      <w:r w:rsidRPr="000E1901">
        <w:t>Tarando</w:t>
      </w:r>
      <w:proofErr w:type="spellEnd"/>
      <w:r w:rsidRPr="000E1901">
        <w:t xml:space="preserve"> et al. (2017) </w:t>
      </w:r>
      <w:r>
        <w:t xml:space="preserve">Left ventricular non-compaction and idiopathic dilated cardiomyopathy: the significant diagnostic value of longitudinal strain.  </w:t>
      </w:r>
      <w:proofErr w:type="spellStart"/>
      <w:r w:rsidRPr="000E1901">
        <w:rPr>
          <w:i/>
        </w:rPr>
        <w:t>Int</w:t>
      </w:r>
      <w:proofErr w:type="spellEnd"/>
      <w:r w:rsidRPr="000E1901">
        <w:rPr>
          <w:i/>
        </w:rPr>
        <w:t xml:space="preserve"> J </w:t>
      </w:r>
      <w:proofErr w:type="spellStart"/>
      <w:r w:rsidRPr="000E1901">
        <w:rPr>
          <w:i/>
        </w:rPr>
        <w:t>Cardiovasc</w:t>
      </w:r>
      <w:proofErr w:type="spellEnd"/>
      <w:r w:rsidRPr="000E1901">
        <w:rPr>
          <w:i/>
        </w:rPr>
        <w:t xml:space="preserve"> Imaging </w:t>
      </w:r>
      <w:r w:rsidRPr="000E1901">
        <w:t>33 (1):83-95 (PMID: 27659478)</w:t>
      </w:r>
    </w:p>
    <w:p w:rsidR="00446865" w:rsidRPr="000E1901" w:rsidRDefault="00446865" w:rsidP="00446865">
      <w:pPr>
        <w:widowControl w:val="0"/>
        <w:autoSpaceDE w:val="0"/>
        <w:autoSpaceDN w:val="0"/>
        <w:adjustRightInd w:val="0"/>
        <w:spacing w:after="0" w:line="240" w:lineRule="auto"/>
      </w:pPr>
    </w:p>
    <w:p w:rsidR="008850C6" w:rsidRDefault="008850C6" w:rsidP="008850C6">
      <w:pPr>
        <w:pStyle w:val="ListParagraph"/>
        <w:widowControl w:val="0"/>
        <w:numPr>
          <w:ilvl w:val="0"/>
          <w:numId w:val="11"/>
        </w:numPr>
        <w:autoSpaceDE w:val="0"/>
        <w:autoSpaceDN w:val="0"/>
        <w:adjustRightInd w:val="0"/>
        <w:spacing w:after="0" w:line="240" w:lineRule="auto"/>
      </w:pPr>
      <w:proofErr w:type="spellStart"/>
      <w:r w:rsidRPr="000E1901">
        <w:t>Japp</w:t>
      </w:r>
      <w:proofErr w:type="spellEnd"/>
      <w:r w:rsidRPr="000E1901">
        <w:t xml:space="preserve"> et al. (2016) </w:t>
      </w:r>
      <w:proofErr w:type="gramStart"/>
      <w:r>
        <w:t>The</w:t>
      </w:r>
      <w:proofErr w:type="gramEnd"/>
      <w:r>
        <w:t xml:space="preserve"> Diagnosis and Evaluation of Dilated Cardiomyopathy. </w:t>
      </w:r>
      <w:r w:rsidRPr="000E1901">
        <w:rPr>
          <w:i/>
        </w:rPr>
        <w:t xml:space="preserve">J. Am. Coll. </w:t>
      </w:r>
      <w:proofErr w:type="spellStart"/>
      <w:r w:rsidRPr="000E1901">
        <w:rPr>
          <w:i/>
        </w:rPr>
        <w:t>Cardiol</w:t>
      </w:r>
      <w:proofErr w:type="spellEnd"/>
      <w:r w:rsidRPr="000E1901">
        <w:rPr>
          <w:i/>
        </w:rPr>
        <w:t>.</w:t>
      </w:r>
      <w:r w:rsidRPr="000E1901">
        <w:t xml:space="preserve"> 67 (25):2996-3010 (PMID: 27339497)</w:t>
      </w:r>
    </w:p>
    <w:p w:rsidR="00446865" w:rsidRPr="000E1901" w:rsidRDefault="00446865" w:rsidP="00446865">
      <w:pPr>
        <w:widowControl w:val="0"/>
        <w:autoSpaceDE w:val="0"/>
        <w:autoSpaceDN w:val="0"/>
        <w:adjustRightInd w:val="0"/>
        <w:spacing w:after="0" w:line="240" w:lineRule="auto"/>
      </w:pPr>
    </w:p>
    <w:p w:rsidR="008850C6" w:rsidRPr="000E1901" w:rsidRDefault="008850C6" w:rsidP="008850C6">
      <w:pPr>
        <w:pStyle w:val="ListParagraph"/>
        <w:numPr>
          <w:ilvl w:val="0"/>
          <w:numId w:val="11"/>
        </w:numPr>
        <w:autoSpaceDE w:val="0"/>
        <w:autoSpaceDN w:val="0"/>
        <w:adjustRightInd w:val="0"/>
        <w:spacing w:after="0" w:line="240" w:lineRule="auto"/>
      </w:pPr>
      <w:r w:rsidRPr="000E1901">
        <w:t xml:space="preserve">Bennett et al. (2016) </w:t>
      </w:r>
      <w:r>
        <w:t xml:space="preserve">The Current Approach to Diagnosis and Management of Left Ventricular </w:t>
      </w:r>
      <w:proofErr w:type="spellStart"/>
      <w:r>
        <w:t>Noncompaction</w:t>
      </w:r>
      <w:proofErr w:type="spellEnd"/>
      <w:r>
        <w:t xml:space="preserve"> Cardiomyopathy: Review of the Literature. </w:t>
      </w:r>
      <w:r w:rsidRPr="000E1901">
        <w:rPr>
          <w:i/>
        </w:rPr>
        <w:t>Cardiology Research and Practice</w:t>
      </w:r>
      <w:r w:rsidRPr="000E1901">
        <w:t xml:space="preserve"> 2016:5172308 (PMID: 26881173) </w:t>
      </w:r>
    </w:p>
    <w:p w:rsidR="008850C6" w:rsidRDefault="008850C6" w:rsidP="008850C6">
      <w:pPr>
        <w:pStyle w:val="ListParagraph"/>
        <w:numPr>
          <w:ilvl w:val="0"/>
          <w:numId w:val="11"/>
        </w:numPr>
        <w:autoSpaceDE w:val="0"/>
        <w:autoSpaceDN w:val="0"/>
        <w:adjustRightInd w:val="0"/>
        <w:spacing w:after="0" w:line="240" w:lineRule="auto"/>
      </w:pPr>
      <w:proofErr w:type="gramStart"/>
      <w:r w:rsidRPr="000E1901">
        <w:t>Rooms</w:t>
      </w:r>
      <w:proofErr w:type="gramEnd"/>
      <w:r w:rsidRPr="000E1901">
        <w:t xml:space="preserve"> et al. (2015) </w:t>
      </w:r>
      <w:r>
        <w:t xml:space="preserve">Non-compaction cardiomyopathy: a genetically and clinically heterogeneous disorder. </w:t>
      </w:r>
      <w:proofErr w:type="spellStart"/>
      <w:r w:rsidRPr="000E1901">
        <w:t>Acta</w:t>
      </w:r>
      <w:proofErr w:type="spellEnd"/>
      <w:r w:rsidRPr="000E1901">
        <w:t xml:space="preserve"> </w:t>
      </w:r>
      <w:proofErr w:type="spellStart"/>
      <w:r w:rsidRPr="000E1901">
        <w:t>Cardiol</w:t>
      </w:r>
      <w:proofErr w:type="spellEnd"/>
      <w:r w:rsidRPr="000E1901">
        <w:t xml:space="preserve"> 70 (6):625-31 (PMID: 26717209) </w:t>
      </w:r>
    </w:p>
    <w:p w:rsidR="00446865" w:rsidRPr="000E1901" w:rsidRDefault="00446865" w:rsidP="00446865">
      <w:pPr>
        <w:autoSpaceDE w:val="0"/>
        <w:autoSpaceDN w:val="0"/>
        <w:adjustRightInd w:val="0"/>
        <w:spacing w:after="0" w:line="240" w:lineRule="auto"/>
        <w:ind w:left="360"/>
      </w:pPr>
    </w:p>
    <w:p w:rsidR="008850C6" w:rsidRDefault="008850C6" w:rsidP="008850C6">
      <w:pPr>
        <w:pStyle w:val="ListParagraph"/>
        <w:widowControl w:val="0"/>
        <w:numPr>
          <w:ilvl w:val="0"/>
          <w:numId w:val="11"/>
        </w:numPr>
        <w:autoSpaceDE w:val="0"/>
        <w:autoSpaceDN w:val="0"/>
        <w:adjustRightInd w:val="0"/>
        <w:spacing w:after="0" w:line="240" w:lineRule="auto"/>
      </w:pPr>
      <w:r w:rsidRPr="000E1901">
        <w:t>Yang et al. (2005) Circulation 112 (11):1612-7 (PMID: 16144992)</w:t>
      </w:r>
    </w:p>
    <w:p w:rsidR="00446865" w:rsidRPr="000E1901" w:rsidRDefault="00446865" w:rsidP="00446865">
      <w:pPr>
        <w:widowControl w:val="0"/>
        <w:autoSpaceDE w:val="0"/>
        <w:autoSpaceDN w:val="0"/>
        <w:adjustRightInd w:val="0"/>
        <w:spacing w:after="0" w:line="240" w:lineRule="auto"/>
      </w:pPr>
    </w:p>
    <w:p w:rsidR="008850C6" w:rsidRDefault="008850C6" w:rsidP="008850C6">
      <w:pPr>
        <w:pStyle w:val="ListParagraph"/>
        <w:widowControl w:val="0"/>
        <w:numPr>
          <w:ilvl w:val="0"/>
          <w:numId w:val="11"/>
        </w:numPr>
        <w:autoSpaceDE w:val="0"/>
        <w:autoSpaceDN w:val="0"/>
        <w:adjustRightInd w:val="0"/>
        <w:spacing w:after="0" w:line="240" w:lineRule="auto"/>
      </w:pPr>
      <w:proofErr w:type="spellStart"/>
      <w:r w:rsidRPr="000E1901">
        <w:t>D'souza</w:t>
      </w:r>
      <w:proofErr w:type="spellEnd"/>
      <w:r w:rsidRPr="000E1901">
        <w:t xml:space="preserve"> et al. (2014) </w:t>
      </w:r>
      <w:proofErr w:type="spellStart"/>
      <w:r w:rsidRPr="000E1901">
        <w:t>Danon</w:t>
      </w:r>
      <w:proofErr w:type="spellEnd"/>
      <w:r w:rsidRPr="000E1901">
        <w:t xml:space="preserve"> disease: clinical features, evaluation, and management. </w:t>
      </w:r>
      <w:r w:rsidRPr="000E1901">
        <w:rPr>
          <w:i/>
        </w:rPr>
        <w:t>Circulation. Heart Failure</w:t>
      </w:r>
      <w:r w:rsidRPr="000E1901">
        <w:t xml:space="preserve"> 7 (5):843-9 (PMID: 25228319)</w:t>
      </w:r>
    </w:p>
    <w:p w:rsidR="00446865" w:rsidRPr="000E1901" w:rsidRDefault="00446865" w:rsidP="00446865">
      <w:pPr>
        <w:widowControl w:val="0"/>
        <w:autoSpaceDE w:val="0"/>
        <w:autoSpaceDN w:val="0"/>
        <w:adjustRightInd w:val="0"/>
        <w:spacing w:after="0" w:line="240" w:lineRule="auto"/>
      </w:pPr>
    </w:p>
    <w:p w:rsidR="008850C6" w:rsidRDefault="008850C6" w:rsidP="008850C6">
      <w:pPr>
        <w:pStyle w:val="ListParagraph"/>
        <w:widowControl w:val="0"/>
        <w:numPr>
          <w:ilvl w:val="0"/>
          <w:numId w:val="11"/>
        </w:numPr>
        <w:autoSpaceDE w:val="0"/>
        <w:autoSpaceDN w:val="0"/>
        <w:adjustRightInd w:val="0"/>
        <w:spacing w:after="0" w:line="240" w:lineRule="auto"/>
      </w:pPr>
      <w:r>
        <w:t>Hershberger et al. (2018) Genetic Evaluation of Cardiomyopathy-A Heart Failure Society of America Practice Guideline</w:t>
      </w:r>
      <w:r w:rsidRPr="001A411D">
        <w:rPr>
          <w:i/>
        </w:rPr>
        <w:t>. J. Card. Fail</w:t>
      </w:r>
      <w:r>
        <w:t>. 24 (5):281-302 (PMID: 29567486)</w:t>
      </w:r>
    </w:p>
    <w:p w:rsidR="00446865" w:rsidRDefault="00446865" w:rsidP="00446865">
      <w:pPr>
        <w:widowControl w:val="0"/>
        <w:autoSpaceDE w:val="0"/>
        <w:autoSpaceDN w:val="0"/>
        <w:adjustRightInd w:val="0"/>
        <w:spacing w:after="0" w:line="240" w:lineRule="auto"/>
      </w:pPr>
    </w:p>
    <w:p w:rsidR="008850C6" w:rsidRDefault="008850C6" w:rsidP="008850C6">
      <w:pPr>
        <w:pStyle w:val="ListParagraph"/>
        <w:widowControl w:val="0"/>
        <w:numPr>
          <w:ilvl w:val="0"/>
          <w:numId w:val="11"/>
        </w:numPr>
        <w:autoSpaceDE w:val="0"/>
        <w:autoSpaceDN w:val="0"/>
        <w:adjustRightInd w:val="0"/>
        <w:spacing w:after="0" w:line="240" w:lineRule="auto"/>
      </w:pPr>
      <w:r w:rsidRPr="000E1901">
        <w:t xml:space="preserve">Ackerman et al. (2011) HRS/EHRA expert consensus statement on the state of genetic testing for the </w:t>
      </w:r>
      <w:proofErr w:type="spellStart"/>
      <w:r w:rsidRPr="000E1901">
        <w:t>channelopathies</w:t>
      </w:r>
      <w:proofErr w:type="spellEnd"/>
      <w:r w:rsidRPr="000E1901">
        <w:t xml:space="preserve"> and cardiomyopathies: this document was developed as a partnership between the Heart Rhythm Society (HRS) and the European Heart Rhythm Association (EHRA).  </w:t>
      </w:r>
      <w:proofErr w:type="spellStart"/>
      <w:r w:rsidRPr="000E1901">
        <w:rPr>
          <w:i/>
        </w:rPr>
        <w:t>Europace</w:t>
      </w:r>
      <w:proofErr w:type="spellEnd"/>
      <w:r w:rsidRPr="000E1901">
        <w:t xml:space="preserve"> 13 (8):1077-109 (PMID: 21810866)</w:t>
      </w:r>
    </w:p>
    <w:p w:rsidR="00446865" w:rsidRDefault="00446865" w:rsidP="00446865">
      <w:pPr>
        <w:pStyle w:val="ListParagraph"/>
      </w:pPr>
    </w:p>
    <w:p w:rsidR="00446865" w:rsidRDefault="00446865" w:rsidP="00446865">
      <w:pPr>
        <w:pStyle w:val="ListParagraph"/>
        <w:widowControl w:val="0"/>
        <w:numPr>
          <w:ilvl w:val="0"/>
          <w:numId w:val="11"/>
        </w:numPr>
        <w:autoSpaceDE w:val="0"/>
        <w:autoSpaceDN w:val="0"/>
        <w:adjustRightInd w:val="0"/>
        <w:spacing w:after="0" w:line="240" w:lineRule="auto"/>
      </w:pPr>
      <w:proofErr w:type="spellStart"/>
      <w:r w:rsidRPr="00820F68">
        <w:t>Gersh</w:t>
      </w:r>
      <w:proofErr w:type="spellEnd"/>
      <w:r w:rsidRPr="00820F68">
        <w:t xml:space="preserve"> et al. (2011) </w:t>
      </w:r>
      <w:r>
        <w:t xml:space="preserve">2011 ACCF/AHA guideline for the diagnosis and treatment of hypertrophic cardiomyopathy: a report of the American College of Cardiology Foundation/American Heart Association Task Force on Practice Guidelines. </w:t>
      </w:r>
      <w:r w:rsidRPr="00820F68">
        <w:t xml:space="preserve">J. </w:t>
      </w:r>
      <w:proofErr w:type="spellStart"/>
      <w:r w:rsidRPr="00820F68">
        <w:t>Thorac</w:t>
      </w:r>
      <w:proofErr w:type="spellEnd"/>
      <w:r w:rsidRPr="00820F68">
        <w:t xml:space="preserve">. </w:t>
      </w:r>
      <w:proofErr w:type="spellStart"/>
      <w:r w:rsidRPr="00820F68">
        <w:t>Cardiovasc</w:t>
      </w:r>
      <w:proofErr w:type="spellEnd"/>
      <w:r w:rsidRPr="00820F68">
        <w:t>. Surg. 142 (6):e153-203 (PMID: 22093723)</w:t>
      </w:r>
    </w:p>
    <w:p w:rsidR="00446865" w:rsidRDefault="00446865" w:rsidP="00446865">
      <w:pPr>
        <w:pStyle w:val="ListParagraph"/>
      </w:pPr>
    </w:p>
    <w:p w:rsidR="00446865" w:rsidRDefault="00446865" w:rsidP="00446865">
      <w:pPr>
        <w:pStyle w:val="ListParagraph"/>
        <w:widowControl w:val="0"/>
        <w:numPr>
          <w:ilvl w:val="0"/>
          <w:numId w:val="11"/>
        </w:numPr>
        <w:autoSpaceDE w:val="0"/>
        <w:autoSpaceDN w:val="0"/>
        <w:adjustRightInd w:val="0"/>
        <w:spacing w:after="0" w:line="240" w:lineRule="auto"/>
      </w:pPr>
      <w:proofErr w:type="spellStart"/>
      <w:r>
        <w:t>Yancy</w:t>
      </w:r>
      <w:proofErr w:type="spellEnd"/>
      <w:r>
        <w:t xml:space="preserve"> et al. (2016) ACC/AHA/HFSA Focused Update on New Pharmacological Therapy for Heart Failure: An Update of the 2013 ACCF/AHA Guideline for the Management of Heart Failure: A Report of the American College of Cardiology/American Heart Association Task Force on Clinical Practice Guidelines and the Heart Failure Society of America. Circulation 134 (13):e282-93 (PMID: 27208050)</w:t>
      </w:r>
    </w:p>
    <w:p w:rsidR="00446865" w:rsidRDefault="00446865" w:rsidP="00446865">
      <w:pPr>
        <w:pStyle w:val="ListParagraph"/>
      </w:pPr>
    </w:p>
    <w:p w:rsidR="00446865" w:rsidRDefault="00446865" w:rsidP="00446865">
      <w:pPr>
        <w:pStyle w:val="ListParagraph"/>
        <w:widowControl w:val="0"/>
        <w:numPr>
          <w:ilvl w:val="0"/>
          <w:numId w:val="11"/>
        </w:numPr>
        <w:autoSpaceDE w:val="0"/>
        <w:autoSpaceDN w:val="0"/>
        <w:adjustRightInd w:val="0"/>
        <w:spacing w:after="0" w:line="240" w:lineRule="auto"/>
      </w:pPr>
      <w:proofErr w:type="spellStart"/>
      <w:r>
        <w:t>Ponikowski</w:t>
      </w:r>
      <w:proofErr w:type="spellEnd"/>
      <w:r>
        <w:t xml:space="preserve"> et al.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Eur. J. Heart Fail. 18 (8):891-975 (PMID: 27207191)</w:t>
      </w:r>
    </w:p>
    <w:p w:rsidR="00446865" w:rsidRDefault="00446865" w:rsidP="00446865">
      <w:pPr>
        <w:pStyle w:val="ListParagraph"/>
        <w:widowControl w:val="0"/>
        <w:autoSpaceDE w:val="0"/>
        <w:autoSpaceDN w:val="0"/>
        <w:adjustRightInd w:val="0"/>
        <w:spacing w:after="0" w:line="240" w:lineRule="auto"/>
      </w:pPr>
    </w:p>
    <w:p w:rsidR="00446865" w:rsidRPr="0015609D" w:rsidRDefault="00446865" w:rsidP="00446865">
      <w:pPr>
        <w:pStyle w:val="ListParagraph"/>
        <w:widowControl w:val="0"/>
        <w:autoSpaceDE w:val="0"/>
        <w:autoSpaceDN w:val="0"/>
        <w:adjustRightInd w:val="0"/>
        <w:spacing w:after="0" w:line="240" w:lineRule="auto"/>
      </w:pPr>
    </w:p>
    <w:p w:rsidR="008850C6" w:rsidRPr="00454799" w:rsidRDefault="008850C6" w:rsidP="00454799">
      <w:pPr>
        <w:rPr>
          <w:sz w:val="18"/>
          <w:szCs w:val="18"/>
        </w:rPr>
      </w:pPr>
    </w:p>
    <w:sectPr w:rsidR="008850C6"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835E8"/>
    <w:multiLevelType w:val="hybridMultilevel"/>
    <w:tmpl w:val="706E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10"/>
  </w:num>
  <w:num w:numId="7">
    <w:abstractNumId w:val="2"/>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04CFA"/>
    <w:rsid w:val="001109B6"/>
    <w:rsid w:val="00150F55"/>
    <w:rsid w:val="00173A59"/>
    <w:rsid w:val="00205DB4"/>
    <w:rsid w:val="002414B7"/>
    <w:rsid w:val="00241678"/>
    <w:rsid w:val="00253146"/>
    <w:rsid w:val="002A7478"/>
    <w:rsid w:val="002D0B92"/>
    <w:rsid w:val="00301F9D"/>
    <w:rsid w:val="00342070"/>
    <w:rsid w:val="003D0EA6"/>
    <w:rsid w:val="003E2CA8"/>
    <w:rsid w:val="00433DFB"/>
    <w:rsid w:val="00446865"/>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50C6"/>
    <w:rsid w:val="00887B41"/>
    <w:rsid w:val="008E7C39"/>
    <w:rsid w:val="00900219"/>
    <w:rsid w:val="00921AF4"/>
    <w:rsid w:val="00AB2F4A"/>
    <w:rsid w:val="00B27690"/>
    <w:rsid w:val="00B374A4"/>
    <w:rsid w:val="00B82599"/>
    <w:rsid w:val="00BE244D"/>
    <w:rsid w:val="00C247D1"/>
    <w:rsid w:val="00C57E98"/>
    <w:rsid w:val="00D17422"/>
    <w:rsid w:val="00D66DD8"/>
    <w:rsid w:val="00DB3B6E"/>
    <w:rsid w:val="00DB690F"/>
    <w:rsid w:val="00DE6040"/>
    <w:rsid w:val="00E04C9D"/>
    <w:rsid w:val="00ED14F6"/>
    <w:rsid w:val="00F1597A"/>
    <w:rsid w:val="00F339A7"/>
    <w:rsid w:val="00F74480"/>
    <w:rsid w:val="00F9401A"/>
    <w:rsid w:val="00FB3BE6"/>
    <w:rsid w:val="00FB611B"/>
    <w:rsid w:val="00FE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paragraph" w:customStyle="1" w:styleId="Default">
    <w:name w:val="Default"/>
    <w:rsid w:val="00173A59"/>
    <w:pPr>
      <w:autoSpaceDE w:val="0"/>
      <w:autoSpaceDN w:val="0"/>
      <w:adjustRightInd w:val="0"/>
      <w:spacing w:after="0" w:line="240" w:lineRule="auto"/>
    </w:pPr>
    <w:rPr>
      <w:rFonts w:ascii="Arial" w:hAnsi="Arial" w:cs="Arial"/>
      <w:color w:val="000000"/>
      <w:sz w:val="24"/>
      <w:szCs w:val="24"/>
    </w:rPr>
  </w:style>
  <w:style w:type="character" w:customStyle="1" w:styleId="bkciteavail">
    <w:name w:val="bk_cite_avail"/>
    <w:basedOn w:val="DefaultParagraphFont"/>
    <w:rsid w:val="008850C6"/>
  </w:style>
  <w:style w:type="character" w:styleId="Hyperlink">
    <w:name w:val="Hyperlink"/>
    <w:basedOn w:val="DefaultParagraphFont"/>
    <w:uiPriority w:val="99"/>
    <w:unhideWhenUsed/>
    <w:rsid w:val="00885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books/NBK13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2019-11-11T22:25:00Z</dcterms:created>
  <dcterms:modified xsi:type="dcterms:W3CDTF">2019-11-11T22:25:00Z</dcterms:modified>
</cp:coreProperties>
</file>