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4282F" w14:textId="4ED0F7E6" w:rsidR="000D05E6" w:rsidRPr="00391B28" w:rsidRDefault="003D0EA6" w:rsidP="00205DB4">
      <w:pPr>
        <w:pStyle w:val="NoSpacing"/>
        <w:jc w:val="center"/>
        <w:rPr>
          <w:rFonts w:cstheme="minorHAnsi"/>
          <w:b/>
        </w:rPr>
      </w:pPr>
      <w:r w:rsidRPr="00391B28">
        <w:rPr>
          <w:rFonts w:cstheme="minorHAnsi"/>
          <w:b/>
        </w:rPr>
        <w:t>Letter of Medical Necessi</w:t>
      </w:r>
      <w:r w:rsidR="00342070" w:rsidRPr="00391B28">
        <w:rPr>
          <w:rFonts w:cstheme="minorHAnsi"/>
          <w:b/>
        </w:rPr>
        <w:t xml:space="preserve">ty for </w:t>
      </w:r>
      <w:r w:rsidR="0071306C">
        <w:rPr>
          <w:rFonts w:cstheme="minorHAnsi"/>
          <w:b/>
        </w:rPr>
        <w:t>Exome</w:t>
      </w:r>
      <w:r w:rsidR="00342070" w:rsidRPr="00391B28">
        <w:rPr>
          <w:rFonts w:cstheme="minorHAnsi"/>
          <w:b/>
        </w:rPr>
        <w:t xml:space="preserve"> Sequ</w:t>
      </w:r>
      <w:r w:rsidR="00603DF4" w:rsidRPr="00391B28">
        <w:rPr>
          <w:rFonts w:cstheme="minorHAnsi"/>
          <w:b/>
        </w:rPr>
        <w:t>encing</w:t>
      </w:r>
      <w:r w:rsidR="00375EA3" w:rsidRPr="00391B28">
        <w:rPr>
          <w:rFonts w:cstheme="minorHAnsi"/>
          <w:b/>
        </w:rPr>
        <w:t xml:space="preserve"> (Trio)</w:t>
      </w:r>
    </w:p>
    <w:p w14:paraId="3D6C8132" w14:textId="77777777" w:rsidR="00AB2F4A" w:rsidRPr="00391B28" w:rsidRDefault="00AB2F4A" w:rsidP="00AB2F4A">
      <w:pPr>
        <w:pStyle w:val="NoSpacing"/>
        <w:rPr>
          <w:rFonts w:cstheme="minorHAnsi"/>
          <w:color w:val="FF0000"/>
        </w:rPr>
      </w:pPr>
    </w:p>
    <w:p w14:paraId="06A521AD" w14:textId="77777777" w:rsidR="00205DB4" w:rsidRPr="00391B28" w:rsidRDefault="00205DB4" w:rsidP="00AB2F4A">
      <w:pPr>
        <w:pStyle w:val="NoSpacing"/>
        <w:rPr>
          <w:rFonts w:cstheme="minorHAnsi"/>
          <w:color w:val="FF0000"/>
        </w:rPr>
        <w:sectPr w:rsidR="00205DB4" w:rsidRPr="00391B28" w:rsidSect="00237EA6">
          <w:pgSz w:w="12240" w:h="15840"/>
          <w:pgMar w:top="1440" w:right="1440" w:bottom="1440" w:left="1440" w:header="720" w:footer="720" w:gutter="0"/>
          <w:cols w:space="720"/>
          <w:docGrid w:linePitch="360"/>
        </w:sectPr>
      </w:pPr>
    </w:p>
    <w:p w14:paraId="08099A68" w14:textId="77777777" w:rsidR="00253146" w:rsidRPr="00171176" w:rsidRDefault="00253146" w:rsidP="00AB2F4A">
      <w:pPr>
        <w:pStyle w:val="NoSpacing"/>
        <w:rPr>
          <w:rFonts w:cstheme="minorHAnsi"/>
          <w:b/>
          <w:u w:val="single"/>
        </w:rPr>
      </w:pPr>
      <w:r w:rsidRPr="00171176">
        <w:rPr>
          <w:rFonts w:cstheme="minorHAnsi"/>
          <w:b/>
          <w:u w:val="single"/>
        </w:rPr>
        <w:t>Patient Information</w:t>
      </w:r>
    </w:p>
    <w:p w14:paraId="73752FDD" w14:textId="77777777" w:rsidR="003D0EA6" w:rsidRPr="00171176" w:rsidRDefault="003D0EA6" w:rsidP="00AB2F4A">
      <w:pPr>
        <w:pStyle w:val="NoSpacing"/>
        <w:rPr>
          <w:rFonts w:cstheme="minorHAnsi"/>
          <w:b/>
          <w:color w:val="FF0000"/>
        </w:rPr>
      </w:pPr>
      <w:r w:rsidRPr="00171176">
        <w:rPr>
          <w:rFonts w:cstheme="minorHAnsi"/>
          <w:b/>
          <w:color w:val="FF0000"/>
        </w:rPr>
        <w:t>Date:</w:t>
      </w:r>
    </w:p>
    <w:p w14:paraId="71BA384E" w14:textId="77777777" w:rsidR="003D0EA6" w:rsidRPr="00171176" w:rsidRDefault="003D0EA6" w:rsidP="00AB2F4A">
      <w:pPr>
        <w:pStyle w:val="NoSpacing"/>
        <w:rPr>
          <w:rFonts w:cstheme="minorHAnsi"/>
          <w:b/>
          <w:color w:val="FF0000"/>
        </w:rPr>
      </w:pPr>
      <w:r w:rsidRPr="00171176">
        <w:rPr>
          <w:rFonts w:cstheme="minorHAnsi"/>
          <w:b/>
          <w:color w:val="FF0000"/>
        </w:rPr>
        <w:t>Patient Name:</w:t>
      </w:r>
    </w:p>
    <w:p w14:paraId="100EEE77" w14:textId="77777777" w:rsidR="003D0EA6" w:rsidRPr="00171176" w:rsidRDefault="003D0EA6" w:rsidP="00AB2F4A">
      <w:pPr>
        <w:pStyle w:val="NoSpacing"/>
        <w:rPr>
          <w:rFonts w:cstheme="minorHAnsi"/>
          <w:b/>
          <w:color w:val="FF0000"/>
        </w:rPr>
      </w:pPr>
      <w:r w:rsidRPr="00171176">
        <w:rPr>
          <w:rFonts w:cstheme="minorHAnsi"/>
          <w:b/>
          <w:color w:val="FF0000"/>
        </w:rPr>
        <w:t>Patient DOB:</w:t>
      </w:r>
    </w:p>
    <w:p w14:paraId="27DF14E3" w14:textId="77777777" w:rsidR="003D0EA6" w:rsidRPr="00171176" w:rsidRDefault="003D0EA6" w:rsidP="00AB2F4A">
      <w:pPr>
        <w:pStyle w:val="NoSpacing"/>
        <w:rPr>
          <w:rFonts w:cstheme="minorHAnsi"/>
          <w:b/>
          <w:color w:val="FF0000"/>
        </w:rPr>
      </w:pPr>
      <w:r w:rsidRPr="00171176">
        <w:rPr>
          <w:rFonts w:cstheme="minorHAnsi"/>
          <w:b/>
          <w:color w:val="FF0000"/>
        </w:rPr>
        <w:t>Insurance Company</w:t>
      </w:r>
      <w:r w:rsidR="00B82599" w:rsidRPr="00171176">
        <w:rPr>
          <w:rFonts w:cstheme="minorHAnsi"/>
          <w:b/>
          <w:color w:val="FF0000"/>
        </w:rPr>
        <w:t xml:space="preserve"> Name, Address, City, State</w:t>
      </w:r>
      <w:r w:rsidRPr="00171176">
        <w:rPr>
          <w:rFonts w:cstheme="minorHAnsi"/>
          <w:b/>
          <w:color w:val="FF0000"/>
        </w:rPr>
        <w:t>:</w:t>
      </w:r>
    </w:p>
    <w:p w14:paraId="34311125" w14:textId="77777777" w:rsidR="003D0EA6" w:rsidRPr="00171176" w:rsidRDefault="003D0EA6" w:rsidP="00AB2F4A">
      <w:pPr>
        <w:pStyle w:val="NoSpacing"/>
        <w:rPr>
          <w:rFonts w:cstheme="minorHAnsi"/>
          <w:b/>
          <w:color w:val="FF0000"/>
        </w:rPr>
      </w:pPr>
      <w:r w:rsidRPr="00171176">
        <w:rPr>
          <w:rFonts w:cstheme="minorHAnsi"/>
          <w:b/>
          <w:color w:val="FF0000"/>
        </w:rPr>
        <w:t>Policy Number</w:t>
      </w:r>
      <w:r w:rsidR="00253146" w:rsidRPr="00171176">
        <w:rPr>
          <w:rFonts w:cstheme="minorHAnsi"/>
          <w:b/>
          <w:color w:val="FF0000"/>
        </w:rPr>
        <w:t>:</w:t>
      </w:r>
    </w:p>
    <w:p w14:paraId="596B999F" w14:textId="77777777" w:rsidR="003D0EA6" w:rsidRPr="00171176" w:rsidRDefault="003D0EA6" w:rsidP="00AB2F4A">
      <w:pPr>
        <w:pStyle w:val="NoSpacing"/>
        <w:rPr>
          <w:rFonts w:cstheme="minorHAnsi"/>
          <w:b/>
          <w:color w:val="FF0000"/>
        </w:rPr>
      </w:pPr>
      <w:r w:rsidRPr="00171176">
        <w:rPr>
          <w:rFonts w:cstheme="minorHAnsi"/>
          <w:b/>
          <w:color w:val="FF0000"/>
        </w:rPr>
        <w:t>Group Number</w:t>
      </w:r>
      <w:r w:rsidR="00253146" w:rsidRPr="00171176">
        <w:rPr>
          <w:rFonts w:cstheme="minorHAnsi"/>
          <w:b/>
          <w:color w:val="FF0000"/>
        </w:rPr>
        <w:t>:</w:t>
      </w:r>
    </w:p>
    <w:p w14:paraId="0FF15928" w14:textId="77777777" w:rsidR="00AB2F4A" w:rsidRPr="00171176" w:rsidRDefault="00B82599" w:rsidP="00AB2F4A">
      <w:pPr>
        <w:pStyle w:val="NoSpacing"/>
        <w:rPr>
          <w:rFonts w:cstheme="minorHAnsi"/>
          <w:color w:val="FF0000"/>
        </w:rPr>
      </w:pPr>
      <w:r w:rsidRPr="00171176">
        <w:rPr>
          <w:rFonts w:cstheme="minorHAnsi"/>
          <w:b/>
          <w:color w:val="FF0000"/>
        </w:rPr>
        <w:t>ICD10 Codes</w:t>
      </w:r>
      <w:r w:rsidR="00253146" w:rsidRPr="00171176">
        <w:rPr>
          <w:rFonts w:cstheme="minorHAnsi"/>
          <w:b/>
          <w:color w:val="FF0000"/>
        </w:rPr>
        <w:t>:</w:t>
      </w:r>
      <w:r w:rsidR="00921AF4" w:rsidRPr="00171176">
        <w:rPr>
          <w:rFonts w:cstheme="minorHAnsi"/>
          <w:color w:val="FF0000"/>
        </w:rPr>
        <w:t xml:space="preserve"> </w:t>
      </w:r>
    </w:p>
    <w:p w14:paraId="38F618B1" w14:textId="77777777" w:rsidR="00205DB4" w:rsidRPr="00171176" w:rsidRDefault="00205DB4" w:rsidP="00AB2F4A">
      <w:pPr>
        <w:pStyle w:val="NoSpacing"/>
        <w:rPr>
          <w:rFonts w:cstheme="minorHAnsi"/>
        </w:rPr>
      </w:pPr>
    </w:p>
    <w:p w14:paraId="541E0AE0" w14:textId="77777777" w:rsidR="00205DB4" w:rsidRPr="00171176" w:rsidRDefault="00205DB4" w:rsidP="00AB2F4A">
      <w:pPr>
        <w:pStyle w:val="NoSpacing"/>
        <w:rPr>
          <w:rFonts w:cstheme="minorHAnsi"/>
        </w:rPr>
      </w:pPr>
    </w:p>
    <w:p w14:paraId="1F9425A5" w14:textId="77777777" w:rsidR="00F9401A" w:rsidRPr="00171176" w:rsidRDefault="00F9401A" w:rsidP="00AB2F4A">
      <w:pPr>
        <w:pStyle w:val="NoSpacing"/>
        <w:rPr>
          <w:rFonts w:cstheme="minorHAnsi"/>
        </w:rPr>
      </w:pPr>
    </w:p>
    <w:p w14:paraId="1174DE7F" w14:textId="77777777" w:rsidR="00205DB4" w:rsidRPr="00171176" w:rsidRDefault="00253146" w:rsidP="00AB2F4A">
      <w:pPr>
        <w:pStyle w:val="NoSpacing"/>
        <w:rPr>
          <w:rFonts w:cstheme="minorHAnsi"/>
          <w:b/>
          <w:u w:val="single"/>
        </w:rPr>
      </w:pPr>
      <w:r w:rsidRPr="00171176">
        <w:rPr>
          <w:rFonts w:cstheme="minorHAnsi"/>
          <w:b/>
          <w:u w:val="single"/>
        </w:rPr>
        <w:t>Test Information</w:t>
      </w:r>
    </w:p>
    <w:p w14:paraId="4B88606A" w14:textId="238BC888" w:rsidR="002D0B92" w:rsidRPr="00171176" w:rsidRDefault="002D0B92" w:rsidP="00AB2F4A">
      <w:pPr>
        <w:pStyle w:val="NoSpacing"/>
        <w:rPr>
          <w:rFonts w:cstheme="minorHAnsi"/>
        </w:rPr>
      </w:pPr>
      <w:r w:rsidRPr="00171176">
        <w:rPr>
          <w:rFonts w:cstheme="minorHAnsi"/>
          <w:b/>
        </w:rPr>
        <w:t>Test Name</w:t>
      </w:r>
      <w:r w:rsidR="00FB3BE6" w:rsidRPr="00171176">
        <w:rPr>
          <w:rFonts w:cstheme="minorHAnsi"/>
          <w:b/>
        </w:rPr>
        <w:t>:</w:t>
      </w:r>
      <w:r w:rsidR="00603DF4" w:rsidRPr="00171176">
        <w:rPr>
          <w:rFonts w:cstheme="minorHAnsi"/>
        </w:rPr>
        <w:t xml:space="preserve">  </w:t>
      </w:r>
      <w:proofErr w:type="spellStart"/>
      <w:r w:rsidR="006B4192" w:rsidRPr="00171176">
        <w:rPr>
          <w:rFonts w:cstheme="minorHAnsi"/>
        </w:rPr>
        <w:t>XomeDx</w:t>
      </w:r>
      <w:proofErr w:type="spellEnd"/>
      <w:r w:rsidR="00177CB7" w:rsidRPr="00171176">
        <w:rPr>
          <w:rFonts w:cstheme="minorHAnsi"/>
        </w:rPr>
        <w:t xml:space="preserve"> </w:t>
      </w:r>
      <w:r w:rsidR="009D0A63" w:rsidRPr="00171176">
        <w:rPr>
          <w:rFonts w:cstheme="minorHAnsi"/>
        </w:rPr>
        <w:t>- Trio</w:t>
      </w:r>
    </w:p>
    <w:p w14:paraId="49E797C7" w14:textId="61ABC437" w:rsidR="00F9401A" w:rsidRPr="00171176" w:rsidRDefault="002D0B92" w:rsidP="00AB2F4A">
      <w:pPr>
        <w:pStyle w:val="NoSpacing"/>
        <w:rPr>
          <w:rFonts w:cstheme="minorHAnsi"/>
        </w:rPr>
      </w:pPr>
      <w:r w:rsidRPr="00171176">
        <w:rPr>
          <w:rFonts w:cstheme="minorHAnsi"/>
          <w:b/>
        </w:rPr>
        <w:t>CPT Codes</w:t>
      </w:r>
      <w:r w:rsidR="00FB3BE6" w:rsidRPr="00171176">
        <w:rPr>
          <w:rFonts w:cstheme="minorHAnsi"/>
          <w:b/>
        </w:rPr>
        <w:t>:</w:t>
      </w:r>
      <w:r w:rsidR="0064562A" w:rsidRPr="00171176">
        <w:rPr>
          <w:rFonts w:cstheme="minorHAnsi"/>
          <w:b/>
        </w:rPr>
        <w:t xml:space="preserve">  </w:t>
      </w:r>
      <w:r w:rsidR="00F144C3" w:rsidRPr="00171176">
        <w:rPr>
          <w:rFonts w:cstheme="minorHAnsi"/>
        </w:rPr>
        <w:t>814</w:t>
      </w:r>
      <w:r w:rsidR="006B4192" w:rsidRPr="00171176">
        <w:rPr>
          <w:rFonts w:cstheme="minorHAnsi"/>
        </w:rPr>
        <w:t>1</w:t>
      </w:r>
      <w:r w:rsidR="00F144C3" w:rsidRPr="00171176">
        <w:rPr>
          <w:rFonts w:cstheme="minorHAnsi"/>
        </w:rPr>
        <w:t>5x1, 814</w:t>
      </w:r>
      <w:r w:rsidR="006B4192" w:rsidRPr="00171176">
        <w:rPr>
          <w:rFonts w:cstheme="minorHAnsi"/>
        </w:rPr>
        <w:t>1</w:t>
      </w:r>
      <w:r w:rsidR="00F144C3" w:rsidRPr="00171176">
        <w:rPr>
          <w:rFonts w:cstheme="minorHAnsi"/>
        </w:rPr>
        <w:t>6x</w:t>
      </w:r>
      <w:r w:rsidR="00177CB7" w:rsidRPr="00171176">
        <w:rPr>
          <w:rFonts w:cstheme="minorHAnsi"/>
        </w:rPr>
        <w:t>2</w:t>
      </w:r>
    </w:p>
    <w:p w14:paraId="54B67BE4" w14:textId="77777777" w:rsidR="008706C4" w:rsidRPr="00171176" w:rsidRDefault="00FB3BE6" w:rsidP="00AB2F4A">
      <w:pPr>
        <w:pStyle w:val="NoSpacing"/>
        <w:rPr>
          <w:rFonts w:cstheme="minorHAnsi"/>
          <w:b/>
        </w:rPr>
      </w:pPr>
      <w:r w:rsidRPr="00171176">
        <w:rPr>
          <w:rFonts w:cstheme="minorHAnsi"/>
          <w:b/>
        </w:rPr>
        <w:t xml:space="preserve">Laboratory: </w:t>
      </w:r>
    </w:p>
    <w:p w14:paraId="77BBC86B" w14:textId="77777777" w:rsidR="00253146" w:rsidRPr="00171176" w:rsidRDefault="008706C4" w:rsidP="00AB2F4A">
      <w:pPr>
        <w:pStyle w:val="NoSpacing"/>
        <w:rPr>
          <w:rFonts w:cstheme="minorHAnsi"/>
        </w:rPr>
      </w:pPr>
      <w:proofErr w:type="spellStart"/>
      <w:r w:rsidRPr="00171176">
        <w:rPr>
          <w:rFonts w:cstheme="minorHAnsi"/>
        </w:rPr>
        <w:t>GeneDx</w:t>
      </w:r>
      <w:proofErr w:type="spellEnd"/>
      <w:r w:rsidR="00D17422" w:rsidRPr="00171176">
        <w:rPr>
          <w:rFonts w:cstheme="minorHAnsi"/>
        </w:rPr>
        <w:t xml:space="preserve">, Inc. </w:t>
      </w:r>
      <w:r w:rsidR="00205DB4" w:rsidRPr="00171176">
        <w:rPr>
          <w:rFonts w:cstheme="minorHAnsi"/>
        </w:rPr>
        <w:t xml:space="preserve"> </w:t>
      </w:r>
    </w:p>
    <w:p w14:paraId="7A04B4F7" w14:textId="77777777" w:rsidR="00205DB4" w:rsidRPr="00171176" w:rsidRDefault="00FB3BE6" w:rsidP="00AB2F4A">
      <w:pPr>
        <w:pStyle w:val="NoSpacing"/>
        <w:rPr>
          <w:rFonts w:cstheme="minorHAnsi"/>
        </w:rPr>
      </w:pPr>
      <w:r w:rsidRPr="00171176">
        <w:rPr>
          <w:rFonts w:cstheme="minorHAnsi"/>
        </w:rPr>
        <w:t>(NPI#1487632998 / TAXID#205446298 / CLIA#21D0969951)</w:t>
      </w:r>
    </w:p>
    <w:p w14:paraId="219F70ED" w14:textId="77777777" w:rsidR="00AB2F4A" w:rsidRPr="00171176" w:rsidRDefault="00AB2F4A" w:rsidP="00AB2F4A">
      <w:pPr>
        <w:pStyle w:val="NoSpacing"/>
        <w:rPr>
          <w:rFonts w:cstheme="minorHAnsi"/>
          <w:color w:val="FF0000"/>
        </w:rPr>
      </w:pPr>
      <w:r w:rsidRPr="00171176">
        <w:rPr>
          <w:rFonts w:cstheme="minorHAnsi"/>
        </w:rPr>
        <w:t>207 Perry Parkway</w:t>
      </w:r>
    </w:p>
    <w:p w14:paraId="7CBBFE0C" w14:textId="77777777" w:rsidR="00AB2F4A" w:rsidRPr="00171176" w:rsidRDefault="00AB2F4A" w:rsidP="00AB2F4A">
      <w:pPr>
        <w:pStyle w:val="NoSpacing"/>
        <w:rPr>
          <w:rFonts w:cstheme="minorHAnsi"/>
        </w:rPr>
      </w:pPr>
      <w:r w:rsidRPr="00171176">
        <w:rPr>
          <w:rFonts w:cstheme="minorHAnsi"/>
        </w:rPr>
        <w:t>Gaithersburg, MD 20877</w:t>
      </w:r>
    </w:p>
    <w:p w14:paraId="530E1D47" w14:textId="77777777" w:rsidR="00AB2F4A" w:rsidRPr="00171176" w:rsidRDefault="00AB2F4A" w:rsidP="00AB2F4A">
      <w:pPr>
        <w:pStyle w:val="NoSpacing"/>
        <w:rPr>
          <w:rFonts w:cstheme="minorHAnsi"/>
        </w:rPr>
      </w:pPr>
      <w:r w:rsidRPr="00171176">
        <w:rPr>
          <w:rFonts w:cstheme="minorHAnsi"/>
        </w:rPr>
        <w:t>Telephone:</w:t>
      </w:r>
      <w:r w:rsidR="0064562A" w:rsidRPr="00171176">
        <w:rPr>
          <w:rFonts w:cstheme="minorHAnsi"/>
        </w:rPr>
        <w:t xml:space="preserve"> (301) 519-2100</w:t>
      </w:r>
    </w:p>
    <w:p w14:paraId="5F85FDA4" w14:textId="77777777" w:rsidR="002D0B92" w:rsidRPr="00171176" w:rsidRDefault="00AB2F4A" w:rsidP="00AB2F4A">
      <w:pPr>
        <w:pStyle w:val="NoSpacing"/>
        <w:rPr>
          <w:rFonts w:cstheme="minorHAnsi"/>
        </w:rPr>
      </w:pPr>
      <w:r w:rsidRPr="00171176">
        <w:rPr>
          <w:rFonts w:cstheme="minorHAnsi"/>
        </w:rPr>
        <w:t xml:space="preserve">Fax: </w:t>
      </w:r>
      <w:r w:rsidR="0064562A" w:rsidRPr="00171176">
        <w:rPr>
          <w:rFonts w:cstheme="minorHAnsi"/>
        </w:rPr>
        <w:t>(201) 421-2010</w:t>
      </w:r>
    </w:p>
    <w:p w14:paraId="3260560B" w14:textId="77777777" w:rsidR="00AB2F4A" w:rsidRPr="00171176" w:rsidRDefault="00AB2F4A" w:rsidP="00AB2F4A">
      <w:pPr>
        <w:pStyle w:val="NoSpacing"/>
        <w:rPr>
          <w:rFonts w:cstheme="minorHAnsi"/>
        </w:rPr>
        <w:sectPr w:rsidR="00AB2F4A" w:rsidRPr="00171176" w:rsidSect="00237EA6">
          <w:type w:val="continuous"/>
          <w:pgSz w:w="12240" w:h="15840"/>
          <w:pgMar w:top="1440" w:right="1440" w:bottom="1440" w:left="1440" w:header="720" w:footer="720" w:gutter="0"/>
          <w:cols w:num="2" w:space="720"/>
          <w:docGrid w:linePitch="360"/>
        </w:sectPr>
      </w:pPr>
    </w:p>
    <w:p w14:paraId="4345F2AD" w14:textId="1EEFA7CF" w:rsidR="00F74480" w:rsidRPr="00132909" w:rsidRDefault="00F74480" w:rsidP="00AB2F4A">
      <w:pPr>
        <w:pStyle w:val="NoSpacing"/>
        <w:rPr>
          <w:rFonts w:cstheme="minorHAnsi"/>
        </w:rPr>
      </w:pPr>
      <w:r w:rsidRPr="00171176">
        <w:rPr>
          <w:rFonts w:cstheme="minorHAnsi"/>
        </w:rPr>
        <w:t xml:space="preserve">This letter is </w:t>
      </w:r>
      <w:r w:rsidR="000C2E4E" w:rsidRPr="00171176">
        <w:rPr>
          <w:rFonts w:cstheme="minorHAnsi"/>
        </w:rPr>
        <w:t>regarding</w:t>
      </w:r>
      <w:r w:rsidRPr="00171176">
        <w:rPr>
          <w:rFonts w:cstheme="minorHAnsi"/>
        </w:rPr>
        <w:t xml:space="preserve"> my patient, </w:t>
      </w:r>
      <w:r w:rsidR="002D0B92" w:rsidRPr="00171176">
        <w:rPr>
          <w:rFonts w:cstheme="minorHAnsi"/>
          <w:color w:val="FF0000"/>
        </w:rPr>
        <w:t>[</w:t>
      </w:r>
      <w:r w:rsidRPr="00171176">
        <w:rPr>
          <w:rFonts w:cstheme="minorHAnsi"/>
          <w:color w:val="FF0000"/>
        </w:rPr>
        <w:t>FIRST NAME LAST NAME</w:t>
      </w:r>
      <w:r w:rsidR="002D0B92" w:rsidRPr="00171176">
        <w:rPr>
          <w:rFonts w:cstheme="minorHAnsi"/>
          <w:color w:val="FF0000"/>
        </w:rPr>
        <w:t>]</w:t>
      </w:r>
      <w:r w:rsidR="0064562A" w:rsidRPr="00171176">
        <w:rPr>
          <w:rFonts w:cstheme="minorHAnsi"/>
        </w:rPr>
        <w:t xml:space="preserve">, to request full coverage for the </w:t>
      </w:r>
      <w:proofErr w:type="spellStart"/>
      <w:r w:rsidR="006B4192" w:rsidRPr="00171176">
        <w:rPr>
          <w:rFonts w:cstheme="minorHAnsi"/>
        </w:rPr>
        <w:t>XomeDx</w:t>
      </w:r>
      <w:proofErr w:type="spellEnd"/>
      <w:r w:rsidR="00B41E36" w:rsidRPr="00171176">
        <w:rPr>
          <w:rFonts w:cstheme="minorHAnsi"/>
          <w:i/>
          <w:iCs/>
        </w:rPr>
        <w:t>-</w:t>
      </w:r>
      <w:r w:rsidR="00B41E36" w:rsidRPr="00171176">
        <w:rPr>
          <w:rFonts w:cstheme="minorHAnsi"/>
        </w:rPr>
        <w:t>Trio</w:t>
      </w:r>
      <w:r w:rsidR="00B41E36" w:rsidRPr="00171176">
        <w:rPr>
          <w:rFonts w:cstheme="minorHAnsi"/>
          <w:i/>
          <w:iCs/>
        </w:rPr>
        <w:t xml:space="preserve"> </w:t>
      </w:r>
      <w:r w:rsidR="00603DF4" w:rsidRPr="00171176">
        <w:rPr>
          <w:rFonts w:cstheme="minorHAnsi"/>
        </w:rPr>
        <w:t xml:space="preserve">test </w:t>
      </w:r>
      <w:r w:rsidR="006A2BC9" w:rsidRPr="00171176">
        <w:rPr>
          <w:rFonts w:cstheme="minorHAnsi"/>
        </w:rPr>
        <w:t xml:space="preserve">for </w:t>
      </w:r>
      <w:r w:rsidR="00E00FF8" w:rsidRPr="00171176">
        <w:rPr>
          <w:rFonts w:cstheme="minorHAnsi"/>
        </w:rPr>
        <w:t>exome</w:t>
      </w:r>
      <w:r w:rsidR="006A2BC9" w:rsidRPr="00171176">
        <w:rPr>
          <w:rFonts w:cstheme="minorHAnsi"/>
        </w:rPr>
        <w:t xml:space="preserve"> sequencing </w:t>
      </w:r>
      <w:r w:rsidR="00E00FF8" w:rsidRPr="00171176">
        <w:rPr>
          <w:rFonts w:cstheme="minorHAnsi"/>
        </w:rPr>
        <w:t xml:space="preserve">(ES) </w:t>
      </w:r>
      <w:r w:rsidRPr="00171176">
        <w:rPr>
          <w:rFonts w:cstheme="minorHAnsi"/>
        </w:rPr>
        <w:t>to be perfo</w:t>
      </w:r>
      <w:r w:rsidR="008706C4" w:rsidRPr="00171176">
        <w:rPr>
          <w:rFonts w:cstheme="minorHAnsi"/>
        </w:rPr>
        <w:t>r</w:t>
      </w:r>
      <w:r w:rsidRPr="00171176">
        <w:rPr>
          <w:rFonts w:cstheme="minorHAnsi"/>
        </w:rPr>
        <w:t xml:space="preserve">med by </w:t>
      </w:r>
      <w:proofErr w:type="spellStart"/>
      <w:r w:rsidRPr="00171176">
        <w:rPr>
          <w:rFonts w:cstheme="minorHAnsi"/>
        </w:rPr>
        <w:t>GeneDx</w:t>
      </w:r>
      <w:proofErr w:type="spellEnd"/>
      <w:r w:rsidR="002D0B92" w:rsidRPr="00171176">
        <w:rPr>
          <w:rFonts w:cstheme="minorHAnsi"/>
        </w:rPr>
        <w:t xml:space="preserve">. </w:t>
      </w:r>
      <w:r w:rsidRPr="00171176">
        <w:rPr>
          <w:rFonts w:cstheme="minorHAnsi"/>
        </w:rPr>
        <w:t xml:space="preserve">It is my professional determination that testing is medically necessary and will have a direct impact on this patient’s treatment and management. </w:t>
      </w:r>
      <w:r w:rsidR="00211015" w:rsidRPr="00171176">
        <w:rPr>
          <w:rFonts w:cstheme="minorHAnsi"/>
        </w:rPr>
        <w:t xml:space="preserve">I have included relevant information for my patient as well as summaries of the guidelines and </w:t>
      </w:r>
      <w:r w:rsidR="00F161D5" w:rsidRPr="00171176">
        <w:rPr>
          <w:rFonts w:cstheme="minorHAnsi"/>
        </w:rPr>
        <w:t xml:space="preserve">published </w:t>
      </w:r>
      <w:r w:rsidR="00211015" w:rsidRPr="00171176">
        <w:rPr>
          <w:rFonts w:cstheme="minorHAnsi"/>
        </w:rPr>
        <w:t xml:space="preserve">peer-reviewed </w:t>
      </w:r>
      <w:r w:rsidR="00211015" w:rsidRPr="00132909">
        <w:rPr>
          <w:rFonts w:cstheme="minorHAnsi"/>
        </w:rPr>
        <w:t xml:space="preserve">evidence that support this testing. </w:t>
      </w:r>
    </w:p>
    <w:p w14:paraId="6D7BB448" w14:textId="77777777" w:rsidR="006337EC" w:rsidRPr="00132909" w:rsidRDefault="006337EC" w:rsidP="00AB2F4A">
      <w:pPr>
        <w:pStyle w:val="NoSpacing"/>
        <w:rPr>
          <w:rFonts w:cstheme="minorHAnsi"/>
        </w:rPr>
      </w:pPr>
    </w:p>
    <w:p w14:paraId="38D0A3B9" w14:textId="77777777" w:rsidR="00BD07BD" w:rsidRPr="00132909" w:rsidRDefault="00BD07BD" w:rsidP="006337EC">
      <w:pPr>
        <w:pStyle w:val="NoSpacing"/>
        <w:rPr>
          <w:rFonts w:cstheme="minorHAnsi"/>
        </w:rPr>
      </w:pPr>
      <w:r w:rsidRPr="00132909">
        <w:rPr>
          <w:rFonts w:ascii="Calibri" w:hAnsi="Calibri" w:cs="Calibri"/>
          <w:b/>
        </w:rPr>
        <w:t>Patient Clinical and Family History and Potential Impact of Test Results</w:t>
      </w:r>
      <w:r w:rsidRPr="00132909">
        <w:rPr>
          <w:rFonts w:cstheme="minorHAnsi"/>
        </w:rPr>
        <w:t xml:space="preserve"> </w:t>
      </w:r>
    </w:p>
    <w:p w14:paraId="0DE811F7" w14:textId="7268C814" w:rsidR="006337EC" w:rsidRPr="00132909" w:rsidRDefault="006337EC" w:rsidP="006337EC">
      <w:pPr>
        <w:pStyle w:val="NoSpacing"/>
        <w:rPr>
          <w:rFonts w:cstheme="minorHAnsi"/>
        </w:rPr>
      </w:pPr>
      <w:r w:rsidRPr="00132909">
        <w:rPr>
          <w:rFonts w:cstheme="minorHAnsi"/>
        </w:rPr>
        <w:t>This testing is requested due to this patient’s person</w:t>
      </w:r>
      <w:r w:rsidR="00855940" w:rsidRPr="00132909">
        <w:rPr>
          <w:rFonts w:cstheme="minorHAnsi"/>
        </w:rPr>
        <w:t>al medical history, which includes the following clinical findings</w:t>
      </w:r>
      <w:r w:rsidRPr="00132909">
        <w:rPr>
          <w:rFonts w:cstheme="minorHAnsi"/>
        </w:rPr>
        <w:t xml:space="preserve">:  </w:t>
      </w:r>
    </w:p>
    <w:p w14:paraId="4F1B93E1" w14:textId="3D676407" w:rsidR="006337EC" w:rsidRPr="00132909" w:rsidRDefault="006337EC" w:rsidP="006337EC">
      <w:pPr>
        <w:pStyle w:val="NoSpacing"/>
        <w:numPr>
          <w:ilvl w:val="0"/>
          <w:numId w:val="6"/>
        </w:numPr>
        <w:rPr>
          <w:rFonts w:cstheme="minorHAnsi"/>
          <w:color w:val="FF0000"/>
        </w:rPr>
      </w:pPr>
      <w:r w:rsidRPr="00132909">
        <w:rPr>
          <w:rFonts w:cstheme="minorHAnsi"/>
          <w:color w:val="FF0000"/>
        </w:rPr>
        <w:t xml:space="preserve">Add </w:t>
      </w:r>
      <w:r w:rsidR="004F37A9" w:rsidRPr="00132909">
        <w:rPr>
          <w:rFonts w:cstheme="minorHAnsi"/>
          <w:color w:val="FF0000"/>
        </w:rPr>
        <w:t xml:space="preserve">Relevant </w:t>
      </w:r>
      <w:r w:rsidRPr="00132909">
        <w:rPr>
          <w:rFonts w:cstheme="minorHAnsi"/>
          <w:color w:val="FF0000"/>
        </w:rPr>
        <w:t xml:space="preserve">Phenotype </w:t>
      </w:r>
    </w:p>
    <w:p w14:paraId="7004F3DB" w14:textId="1A9319B8" w:rsidR="006337EC" w:rsidRPr="00132909" w:rsidRDefault="006337EC" w:rsidP="006337EC">
      <w:pPr>
        <w:pStyle w:val="NoSpacing"/>
        <w:numPr>
          <w:ilvl w:val="0"/>
          <w:numId w:val="6"/>
        </w:numPr>
        <w:rPr>
          <w:rFonts w:cstheme="minorHAnsi"/>
          <w:color w:val="FF0000"/>
        </w:rPr>
      </w:pPr>
      <w:r w:rsidRPr="00132909">
        <w:rPr>
          <w:rFonts w:cstheme="minorHAnsi"/>
          <w:color w:val="FF0000"/>
        </w:rPr>
        <w:t xml:space="preserve">Add </w:t>
      </w:r>
      <w:r w:rsidR="004F37A9" w:rsidRPr="00132909">
        <w:rPr>
          <w:rFonts w:cstheme="minorHAnsi"/>
          <w:color w:val="FF0000"/>
        </w:rPr>
        <w:t xml:space="preserve">Relevant </w:t>
      </w:r>
      <w:r w:rsidRPr="00132909">
        <w:rPr>
          <w:rFonts w:cstheme="minorHAnsi"/>
          <w:color w:val="FF0000"/>
        </w:rPr>
        <w:t xml:space="preserve">Phenotype </w:t>
      </w:r>
    </w:p>
    <w:p w14:paraId="090BFF97" w14:textId="184E59AC" w:rsidR="006337EC" w:rsidRPr="00171176" w:rsidRDefault="006337EC" w:rsidP="00AB2F4A">
      <w:pPr>
        <w:pStyle w:val="NoSpacing"/>
        <w:numPr>
          <w:ilvl w:val="0"/>
          <w:numId w:val="6"/>
        </w:numPr>
        <w:rPr>
          <w:rFonts w:cstheme="minorHAnsi"/>
          <w:color w:val="FF0000"/>
        </w:rPr>
      </w:pPr>
      <w:r w:rsidRPr="00171176">
        <w:rPr>
          <w:rFonts w:cstheme="minorHAnsi"/>
          <w:color w:val="FF0000"/>
        </w:rPr>
        <w:t xml:space="preserve">Add </w:t>
      </w:r>
      <w:r w:rsidR="004F37A9" w:rsidRPr="00171176">
        <w:rPr>
          <w:rFonts w:cstheme="minorHAnsi"/>
          <w:color w:val="FF0000"/>
        </w:rPr>
        <w:t xml:space="preserve">Relevant </w:t>
      </w:r>
      <w:r w:rsidRPr="00171176">
        <w:rPr>
          <w:rFonts w:cstheme="minorHAnsi"/>
          <w:color w:val="FF0000"/>
        </w:rPr>
        <w:t>Phenotype</w:t>
      </w:r>
    </w:p>
    <w:p w14:paraId="2C58EE0B" w14:textId="77777777" w:rsidR="00855940" w:rsidRPr="00171176" w:rsidRDefault="00855940" w:rsidP="00855940">
      <w:pPr>
        <w:pStyle w:val="NoSpacing"/>
        <w:rPr>
          <w:rFonts w:cstheme="minorHAnsi"/>
          <w:color w:val="FF0000"/>
        </w:rPr>
      </w:pPr>
    </w:p>
    <w:p w14:paraId="6AB0D996" w14:textId="77777777" w:rsidR="00855940" w:rsidRPr="00171176" w:rsidRDefault="00855940" w:rsidP="00855940">
      <w:pPr>
        <w:pStyle w:val="NoSpacing"/>
        <w:rPr>
          <w:rFonts w:cstheme="minorHAnsi"/>
        </w:rPr>
      </w:pPr>
      <w:r w:rsidRPr="00171176">
        <w:rPr>
          <w:rFonts w:cstheme="minorHAnsi"/>
        </w:rPr>
        <w:t xml:space="preserve">The patient’s family history is </w:t>
      </w:r>
      <w:r w:rsidRPr="00171176">
        <w:rPr>
          <w:rFonts w:cstheme="minorHAnsi"/>
          <w:color w:val="FF0000"/>
        </w:rPr>
        <w:t xml:space="preserve">negative for related conditions / unknown / remarkable for the following related clinical features: </w:t>
      </w:r>
    </w:p>
    <w:p w14:paraId="1D98352C" w14:textId="77777777" w:rsidR="00ED14F6" w:rsidRPr="00171176" w:rsidRDefault="00ED14F6" w:rsidP="00855940">
      <w:pPr>
        <w:pStyle w:val="NoSpacing"/>
        <w:rPr>
          <w:rFonts w:cstheme="minorHAnsi"/>
        </w:rPr>
      </w:pPr>
    </w:p>
    <w:p w14:paraId="733C9F1D" w14:textId="77777777" w:rsidR="00ED14F6" w:rsidRPr="00171176" w:rsidRDefault="00ED14F6" w:rsidP="00855940">
      <w:pPr>
        <w:pStyle w:val="NoSpacing"/>
        <w:rPr>
          <w:rFonts w:cstheme="minorHAnsi"/>
          <w:color w:val="FF0000"/>
        </w:rPr>
      </w:pPr>
      <w:r w:rsidRPr="00171176">
        <w:rPr>
          <w:rFonts w:cstheme="minorHAnsi"/>
          <w:color w:val="FF0000"/>
        </w:rPr>
        <w:t>The patient has previously had the following uninformative genetic and other testing:</w:t>
      </w:r>
    </w:p>
    <w:p w14:paraId="77B11C55" w14:textId="77777777" w:rsidR="00ED14F6" w:rsidRPr="00171176" w:rsidRDefault="00ED14F6" w:rsidP="00301F9D">
      <w:pPr>
        <w:pStyle w:val="NoSpacing"/>
        <w:numPr>
          <w:ilvl w:val="0"/>
          <w:numId w:val="9"/>
        </w:numPr>
        <w:rPr>
          <w:rFonts w:cstheme="minorHAnsi"/>
          <w:color w:val="FF0000"/>
        </w:rPr>
      </w:pPr>
      <w:r w:rsidRPr="00171176">
        <w:rPr>
          <w:rFonts w:cstheme="minorHAnsi"/>
          <w:color w:val="FF0000"/>
        </w:rPr>
        <w:t xml:space="preserve">Add </w:t>
      </w:r>
      <w:proofErr w:type="gramStart"/>
      <w:r w:rsidRPr="00171176">
        <w:rPr>
          <w:rFonts w:cstheme="minorHAnsi"/>
          <w:color w:val="FF0000"/>
        </w:rPr>
        <w:t>test</w:t>
      </w:r>
      <w:proofErr w:type="gramEnd"/>
    </w:p>
    <w:p w14:paraId="6098F25F" w14:textId="77777777" w:rsidR="00ED14F6" w:rsidRPr="00132909" w:rsidRDefault="00ED14F6" w:rsidP="00301F9D">
      <w:pPr>
        <w:pStyle w:val="NoSpacing"/>
        <w:numPr>
          <w:ilvl w:val="0"/>
          <w:numId w:val="9"/>
        </w:numPr>
        <w:rPr>
          <w:rFonts w:cstheme="minorHAnsi"/>
          <w:color w:val="FF0000"/>
        </w:rPr>
      </w:pPr>
      <w:r w:rsidRPr="00132909">
        <w:rPr>
          <w:rFonts w:cstheme="minorHAnsi"/>
          <w:color w:val="FF0000"/>
        </w:rPr>
        <w:t xml:space="preserve">Add </w:t>
      </w:r>
      <w:proofErr w:type="gramStart"/>
      <w:r w:rsidRPr="00132909">
        <w:rPr>
          <w:rFonts w:cstheme="minorHAnsi"/>
          <w:color w:val="FF0000"/>
        </w:rPr>
        <w:t>test</w:t>
      </w:r>
      <w:proofErr w:type="gramEnd"/>
    </w:p>
    <w:p w14:paraId="66970C56" w14:textId="77777777" w:rsidR="00ED14F6" w:rsidRPr="00132909" w:rsidRDefault="00ED14F6" w:rsidP="00301F9D">
      <w:pPr>
        <w:pStyle w:val="NoSpacing"/>
        <w:numPr>
          <w:ilvl w:val="0"/>
          <w:numId w:val="9"/>
        </w:numPr>
        <w:rPr>
          <w:rFonts w:cstheme="minorHAnsi"/>
          <w:color w:val="FF0000"/>
        </w:rPr>
      </w:pPr>
      <w:r w:rsidRPr="00132909">
        <w:rPr>
          <w:rFonts w:cstheme="minorHAnsi"/>
          <w:color w:val="FF0000"/>
        </w:rPr>
        <w:t xml:space="preserve">Add </w:t>
      </w:r>
      <w:proofErr w:type="gramStart"/>
      <w:r w:rsidRPr="00132909">
        <w:rPr>
          <w:rFonts w:cstheme="minorHAnsi"/>
          <w:color w:val="FF0000"/>
        </w:rPr>
        <w:t>test</w:t>
      </w:r>
      <w:proofErr w:type="gramEnd"/>
    </w:p>
    <w:p w14:paraId="0470A008" w14:textId="77777777" w:rsidR="00EC78D7" w:rsidRPr="00132909" w:rsidRDefault="00EC78D7" w:rsidP="00EC78D7">
      <w:pPr>
        <w:pStyle w:val="NoSpacing"/>
        <w:rPr>
          <w:rFonts w:cstheme="minorHAnsi"/>
          <w:color w:val="FF0000"/>
        </w:rPr>
      </w:pPr>
    </w:p>
    <w:p w14:paraId="2100C816" w14:textId="77777777" w:rsidR="006D6DFD" w:rsidRPr="00132909" w:rsidRDefault="006D6DFD" w:rsidP="006D6DFD">
      <w:pPr>
        <w:pStyle w:val="NoSpacing"/>
        <w:rPr>
          <w:rFonts w:ascii="Calibri" w:hAnsi="Calibri" w:cs="Calibri"/>
          <w:color w:val="FF0000"/>
        </w:rPr>
      </w:pPr>
      <w:r w:rsidRPr="00132909">
        <w:rPr>
          <w:rFonts w:ascii="Calibri" w:hAnsi="Calibri" w:cs="Calibri"/>
        </w:rPr>
        <w:t xml:space="preserve">Due to this history, the differential diagnosis includes </w:t>
      </w:r>
      <w:r w:rsidRPr="00132909">
        <w:rPr>
          <w:rFonts w:ascii="Calibri" w:hAnsi="Calibri" w:cs="Calibri"/>
          <w:color w:val="FF0000"/>
        </w:rPr>
        <w:t>(list at least 3 conditions you are considering for this patient).</w:t>
      </w:r>
    </w:p>
    <w:p w14:paraId="5B92923B" w14:textId="77777777" w:rsidR="006D6DFD" w:rsidRPr="00132909" w:rsidRDefault="006D6DFD" w:rsidP="00EC78D7">
      <w:pPr>
        <w:pStyle w:val="NoSpacing"/>
        <w:rPr>
          <w:rFonts w:cstheme="minorHAnsi"/>
          <w:color w:val="FF0000"/>
        </w:rPr>
      </w:pPr>
    </w:p>
    <w:p w14:paraId="55400A23" w14:textId="71ABD0C3" w:rsidR="00814AB8" w:rsidRPr="00171176" w:rsidRDefault="002379A4" w:rsidP="00AC73E1">
      <w:pPr>
        <w:pStyle w:val="NoSpacing"/>
        <w:rPr>
          <w:rFonts w:cstheme="minorHAnsi"/>
        </w:rPr>
      </w:pPr>
      <w:r w:rsidRPr="00132909">
        <w:rPr>
          <w:rFonts w:cstheme="minorHAnsi"/>
        </w:rPr>
        <w:t>Specifically f</w:t>
      </w:r>
      <w:r w:rsidR="003E3BBC" w:rsidRPr="00132909">
        <w:rPr>
          <w:rFonts w:cstheme="minorHAnsi"/>
        </w:rPr>
        <w:t>or my patient, r</w:t>
      </w:r>
      <w:r w:rsidR="00814AB8" w:rsidRPr="00132909">
        <w:rPr>
          <w:rFonts w:cstheme="minorHAnsi"/>
        </w:rPr>
        <w:t xml:space="preserve">esults of </w:t>
      </w:r>
      <w:r w:rsidR="00486EFD" w:rsidRPr="00132909">
        <w:rPr>
          <w:rFonts w:cstheme="minorHAnsi"/>
        </w:rPr>
        <w:t>ES</w:t>
      </w:r>
      <w:r w:rsidR="00814AB8" w:rsidRPr="00132909">
        <w:rPr>
          <w:rFonts w:cstheme="minorHAnsi"/>
        </w:rPr>
        <w:t xml:space="preserve"> will guide prognosis and improve clinical decision-making which can improve clinical outcomes</w:t>
      </w:r>
      <w:r w:rsidR="00814AB8" w:rsidRPr="00171176">
        <w:rPr>
          <w:rFonts w:cstheme="minorHAnsi"/>
        </w:rPr>
        <w:t xml:space="preserve"> by: </w:t>
      </w:r>
      <w:r w:rsidR="00814AB8" w:rsidRPr="00171176">
        <w:rPr>
          <w:rFonts w:cstheme="minorHAnsi"/>
          <w:color w:val="FF0000"/>
        </w:rPr>
        <w:t>(keep all bullets you think are relevant and provide examples/details for each included)</w:t>
      </w:r>
    </w:p>
    <w:p w14:paraId="14D1D289" w14:textId="77777777" w:rsidR="00814AB8" w:rsidRPr="00171176" w:rsidRDefault="00814AB8" w:rsidP="00814AB8">
      <w:pPr>
        <w:pStyle w:val="ListParagraph"/>
        <w:numPr>
          <w:ilvl w:val="0"/>
          <w:numId w:val="10"/>
        </w:numPr>
        <w:spacing w:after="0" w:line="240" w:lineRule="auto"/>
        <w:rPr>
          <w:rFonts w:cstheme="minorHAnsi"/>
        </w:rPr>
      </w:pPr>
      <w:r w:rsidRPr="00171176">
        <w:rPr>
          <w:rFonts w:cstheme="minorHAnsi"/>
        </w:rPr>
        <w:t xml:space="preserve">change in medication: </w:t>
      </w:r>
      <w:r w:rsidRPr="00171176">
        <w:rPr>
          <w:rFonts w:cstheme="minorHAnsi"/>
          <w:color w:val="FF0000"/>
        </w:rPr>
        <w:t>(provide examples of potential new treatments or halting of existing ones that may be recommended based results)</w:t>
      </w:r>
    </w:p>
    <w:p w14:paraId="508681DF" w14:textId="77777777" w:rsidR="00814AB8" w:rsidRPr="00171176" w:rsidRDefault="00814AB8" w:rsidP="00814AB8">
      <w:pPr>
        <w:pStyle w:val="ListParagraph"/>
        <w:numPr>
          <w:ilvl w:val="0"/>
          <w:numId w:val="10"/>
        </w:numPr>
        <w:spacing w:after="0" w:line="240" w:lineRule="auto"/>
        <w:rPr>
          <w:rFonts w:cstheme="minorHAnsi"/>
        </w:rPr>
      </w:pPr>
      <w:r w:rsidRPr="00171176">
        <w:rPr>
          <w:rFonts w:cstheme="minorHAnsi"/>
        </w:rPr>
        <w:t xml:space="preserve">alteration to diet: </w:t>
      </w:r>
      <w:r w:rsidRPr="00171176">
        <w:rPr>
          <w:rFonts w:cstheme="minorHAnsi"/>
          <w:color w:val="FF0000"/>
        </w:rPr>
        <w:t>(provide examples of potential alteration to diet that may be recommended based results)</w:t>
      </w:r>
    </w:p>
    <w:p w14:paraId="53313961" w14:textId="77777777" w:rsidR="00814AB8" w:rsidRPr="00171176" w:rsidRDefault="00814AB8" w:rsidP="00814AB8">
      <w:pPr>
        <w:pStyle w:val="ListParagraph"/>
        <w:numPr>
          <w:ilvl w:val="0"/>
          <w:numId w:val="10"/>
        </w:numPr>
        <w:spacing w:after="0" w:line="240" w:lineRule="auto"/>
        <w:rPr>
          <w:rFonts w:cstheme="minorHAnsi"/>
        </w:rPr>
      </w:pPr>
      <w:r w:rsidRPr="00171176">
        <w:rPr>
          <w:rFonts w:cstheme="minorHAnsi"/>
        </w:rPr>
        <w:lastRenderedPageBreak/>
        <w:t xml:space="preserve">change in planned procedures or surveillance: </w:t>
      </w:r>
      <w:r w:rsidRPr="00171176">
        <w:rPr>
          <w:rFonts w:cstheme="minorHAnsi"/>
          <w:color w:val="FF0000"/>
        </w:rPr>
        <w:t>(provide examples of potential alteration surgery, imaging, and/or diagnostic studies that may be recommended based on results especially state if includes discontinuation of unnecessary procedures)</w:t>
      </w:r>
    </w:p>
    <w:p w14:paraId="22731143" w14:textId="77777777" w:rsidR="00814AB8" w:rsidRPr="00171176" w:rsidRDefault="00814AB8" w:rsidP="00814AB8">
      <w:pPr>
        <w:pStyle w:val="ListParagraph"/>
        <w:numPr>
          <w:ilvl w:val="0"/>
          <w:numId w:val="10"/>
        </w:numPr>
        <w:spacing w:after="0" w:line="240" w:lineRule="auto"/>
        <w:rPr>
          <w:rFonts w:cstheme="minorHAnsi"/>
        </w:rPr>
      </w:pPr>
      <w:r w:rsidRPr="00171176">
        <w:rPr>
          <w:rFonts w:cstheme="minorHAnsi"/>
        </w:rPr>
        <w:t xml:space="preserve">Impact on future reproductive planning by informing genetic counseling related to recurrence risk and prenatal diagnosis options: </w:t>
      </w:r>
      <w:r w:rsidRPr="00171176">
        <w:rPr>
          <w:rFonts w:cstheme="minorHAnsi"/>
          <w:color w:val="FF0000"/>
        </w:rPr>
        <w:t>(include and provide additional details if patient’s first degree relative is pregnant or considering pregnancy)</w:t>
      </w:r>
    </w:p>
    <w:p w14:paraId="4BC139AD" w14:textId="77777777" w:rsidR="00205DB4" w:rsidRPr="00171176" w:rsidRDefault="00205DB4" w:rsidP="00AB2F4A">
      <w:pPr>
        <w:pStyle w:val="NoSpacing"/>
        <w:rPr>
          <w:rFonts w:cstheme="minorHAnsi"/>
        </w:rPr>
      </w:pPr>
    </w:p>
    <w:p w14:paraId="4ECE740B" w14:textId="2934AF95" w:rsidR="00B374A4" w:rsidRPr="00171176" w:rsidRDefault="00776731" w:rsidP="00AB2F4A">
      <w:pPr>
        <w:pStyle w:val="NoSpacing"/>
        <w:rPr>
          <w:rFonts w:cstheme="minorHAnsi"/>
          <w:b/>
        </w:rPr>
      </w:pPr>
      <w:r w:rsidRPr="00171176">
        <w:rPr>
          <w:rFonts w:cstheme="minorHAnsi"/>
          <w:b/>
        </w:rPr>
        <w:t xml:space="preserve">Clinical Guidelines </w:t>
      </w:r>
      <w:r w:rsidR="006A3481" w:rsidRPr="00171176">
        <w:rPr>
          <w:rFonts w:cstheme="minorHAnsi"/>
          <w:b/>
        </w:rPr>
        <w:t>Support</w:t>
      </w:r>
      <w:r w:rsidRPr="00171176">
        <w:rPr>
          <w:rFonts w:cstheme="minorHAnsi"/>
          <w:b/>
        </w:rPr>
        <w:t xml:space="preserve"> </w:t>
      </w:r>
      <w:r w:rsidR="00171176">
        <w:rPr>
          <w:rFonts w:cstheme="minorHAnsi"/>
          <w:b/>
        </w:rPr>
        <w:t>Exome</w:t>
      </w:r>
      <w:r w:rsidR="006A3481" w:rsidRPr="00171176">
        <w:rPr>
          <w:rFonts w:cstheme="minorHAnsi"/>
          <w:b/>
        </w:rPr>
        <w:t xml:space="preserve"> Sequencing</w:t>
      </w:r>
    </w:p>
    <w:p w14:paraId="778719F8" w14:textId="77777777" w:rsidR="00AA3F14" w:rsidRPr="00171176" w:rsidRDefault="00AA3F14" w:rsidP="000C2659">
      <w:pPr>
        <w:pStyle w:val="NoSpacing"/>
        <w:rPr>
          <w:rFonts w:cstheme="minorHAnsi"/>
          <w:u w:val="single"/>
        </w:rPr>
      </w:pPr>
      <w:r w:rsidRPr="00171176">
        <w:rPr>
          <w:rFonts w:cstheme="minorHAnsi"/>
          <w:u w:val="single"/>
        </w:rPr>
        <w:t>American College of Medical Genetics and Genomics (ACMG)</w:t>
      </w:r>
    </w:p>
    <w:p w14:paraId="14D472EC" w14:textId="3D5836C3" w:rsidR="00C770A9" w:rsidRPr="00171176" w:rsidRDefault="00C770A9" w:rsidP="000C2659">
      <w:pPr>
        <w:pStyle w:val="NoSpacing"/>
        <w:rPr>
          <w:rFonts w:cstheme="minorHAnsi"/>
        </w:rPr>
      </w:pPr>
      <w:r w:rsidRPr="00171176">
        <w:rPr>
          <w:rFonts w:cstheme="minorHAnsi"/>
        </w:rPr>
        <w:t xml:space="preserve">In 2021 ACMG published an </w:t>
      </w:r>
      <w:r w:rsidRPr="00D334BC">
        <w:rPr>
          <w:rFonts w:cstheme="minorHAnsi"/>
        </w:rPr>
        <w:t>evidence-based practice guideline</w:t>
      </w:r>
      <w:r w:rsidRPr="00171176">
        <w:rPr>
          <w:rFonts w:cstheme="minorHAnsi"/>
        </w:rPr>
        <w:t xml:space="preserve"> “</w:t>
      </w:r>
      <w:r w:rsidRPr="00171176">
        <w:rPr>
          <w:rFonts w:cstheme="minorHAnsi"/>
          <w:i/>
          <w:iCs/>
        </w:rPr>
        <w:t>strongly recommending</w:t>
      </w:r>
      <w:r w:rsidRPr="00171176">
        <w:rPr>
          <w:rFonts w:cstheme="minorHAnsi"/>
        </w:rPr>
        <w:t>” ES as a first-tier or second-tier test for patients with 1 or more congenital anomalies (CA) prior to 1 year of age or developmental delay (DD)/intellectual disability (ID) with onset prior to 18 years of age. This guideline was based on a systematic evidence review of peer-reviewed literature which “</w:t>
      </w:r>
      <w:r w:rsidRPr="00171176">
        <w:rPr>
          <w:rFonts w:cstheme="minorHAnsi"/>
          <w:i/>
          <w:iCs/>
        </w:rPr>
        <w:t>supports the clinical utility and desirable effects of ES … on active and long-term clinical management of patients with CA/DD/ID</w:t>
      </w:r>
      <w:r w:rsidRPr="00171176">
        <w:rPr>
          <w:rFonts w:cstheme="minorHAnsi"/>
        </w:rPr>
        <w:t>.” The guideline additionally stated that “</w:t>
      </w:r>
      <w:r w:rsidRPr="00171176">
        <w:rPr>
          <w:rFonts w:cstheme="minorHAnsi"/>
          <w:i/>
          <w:iCs/>
        </w:rPr>
        <w:t>compared with standard genetic testing, ES… has a higher diagnostic yield and may be more cost-effective when ordered early in the diagnostic evaluation</w:t>
      </w:r>
      <w:r w:rsidRPr="00171176">
        <w:rPr>
          <w:rFonts w:cstheme="minorHAnsi"/>
        </w:rPr>
        <w:t>,” and that “</w:t>
      </w:r>
      <w:r w:rsidRPr="00171176">
        <w:rPr>
          <w:rFonts w:cstheme="minorHAnsi"/>
          <w:i/>
          <w:iCs/>
        </w:rPr>
        <w:t>the various stakeholders (i.e., health-care providers, patients, families, laboratories) are uniformly in favor of the use of ES... in obtaining a clinical diagnosis</w:t>
      </w:r>
      <w:r w:rsidRPr="00171176">
        <w:rPr>
          <w:rFonts w:cstheme="minorHAnsi"/>
        </w:rPr>
        <w:t>.”</w:t>
      </w:r>
      <w:r w:rsidR="000D7BCE" w:rsidRPr="000D7BCE">
        <w:rPr>
          <w:rFonts w:cstheme="minorHAnsi"/>
          <w:noProof/>
          <w:vertAlign w:val="superscript"/>
        </w:rPr>
        <w:t>1</w:t>
      </w:r>
    </w:p>
    <w:p w14:paraId="2D798852" w14:textId="77777777" w:rsidR="00AA3F14" w:rsidRPr="00171176" w:rsidRDefault="00AA3F14" w:rsidP="000C2659">
      <w:pPr>
        <w:pStyle w:val="NoSpacing"/>
        <w:rPr>
          <w:rFonts w:cstheme="minorHAnsi"/>
        </w:rPr>
      </w:pPr>
    </w:p>
    <w:p w14:paraId="2A6F85DC" w14:textId="77777777" w:rsidR="00AA3F14" w:rsidRPr="00171176" w:rsidRDefault="00AA3F14" w:rsidP="000C2659">
      <w:pPr>
        <w:pStyle w:val="NoSpacing"/>
        <w:rPr>
          <w:rFonts w:cstheme="minorHAnsi"/>
          <w:u w:val="single"/>
        </w:rPr>
      </w:pPr>
      <w:r w:rsidRPr="00171176">
        <w:rPr>
          <w:rFonts w:cstheme="minorHAnsi"/>
          <w:u w:val="single"/>
        </w:rPr>
        <w:t>National Society of Genetic Counselors (NSGC) with endorsement by the American Epilepsy Society (AES)</w:t>
      </w:r>
    </w:p>
    <w:p w14:paraId="3C910D2F" w14:textId="4BBA7AB4" w:rsidR="000C2659" w:rsidRPr="00171176" w:rsidRDefault="000C2659" w:rsidP="000C2659">
      <w:pPr>
        <w:pStyle w:val="NoSpacing"/>
        <w:rPr>
          <w:rFonts w:cstheme="minorHAnsi"/>
        </w:rPr>
      </w:pPr>
      <w:r w:rsidRPr="00171176">
        <w:rPr>
          <w:rFonts w:cstheme="minorHAnsi"/>
        </w:rPr>
        <w:t xml:space="preserve">In 2022 the NSGC published an </w:t>
      </w:r>
      <w:r w:rsidRPr="00D334BC">
        <w:rPr>
          <w:rFonts w:cstheme="minorHAnsi"/>
        </w:rPr>
        <w:t>evidence-based guideline</w:t>
      </w:r>
      <w:r w:rsidRPr="00171176">
        <w:rPr>
          <w:rFonts w:cstheme="minorHAnsi"/>
        </w:rPr>
        <w:t xml:space="preserve"> strongly recommending ES as a first-tier test for individuals with unexplained epilepsy regardless of age</w:t>
      </w:r>
      <w:r w:rsidR="006C1D38">
        <w:rPr>
          <w:rFonts w:cstheme="minorHAnsi"/>
        </w:rPr>
        <w:t>.</w:t>
      </w:r>
      <w:r w:rsidR="000D7BCE" w:rsidRPr="006C1D38">
        <w:rPr>
          <w:rFonts w:cstheme="minorHAnsi"/>
          <w:noProof/>
          <w:vertAlign w:val="superscript"/>
        </w:rPr>
        <w:t>2</w:t>
      </w:r>
      <w:r w:rsidRPr="00171176">
        <w:rPr>
          <w:rFonts w:cstheme="minorHAnsi"/>
        </w:rPr>
        <w:t xml:space="preserve"> This guideline was based on a systematic evidence review of peer-reviewed literature which included 40 studies with over 3,000 patients who had ES and demonstrated a genetic diagnosis led to changes in clinical management</w:t>
      </w:r>
      <w:r w:rsidR="006C1D38">
        <w:rPr>
          <w:rFonts w:cstheme="minorHAnsi"/>
        </w:rPr>
        <w:t>.</w:t>
      </w:r>
      <w:r w:rsidR="000D7BCE" w:rsidRPr="00A97C90">
        <w:rPr>
          <w:rFonts w:cstheme="minorHAnsi"/>
          <w:noProof/>
          <w:vertAlign w:val="superscript"/>
        </w:rPr>
        <w:t>3</w:t>
      </w:r>
      <w:r w:rsidRPr="00171176">
        <w:rPr>
          <w:rFonts w:cstheme="minorHAnsi"/>
        </w:rPr>
        <w:t xml:space="preserve"> Additionally, the guideline discussed expanding access to genetic testing may “</w:t>
      </w:r>
      <w:r w:rsidRPr="00171176">
        <w:rPr>
          <w:rFonts w:cstheme="minorHAnsi"/>
          <w:i/>
          <w:iCs/>
        </w:rPr>
        <w:t>lead to a decrease in existing health disparities</w:t>
      </w:r>
      <w:r w:rsidRPr="00171176">
        <w:rPr>
          <w:rFonts w:cstheme="minorHAnsi"/>
        </w:rPr>
        <w:t>;” but acknowledged insurance reimbursement remains a barrier</w:t>
      </w:r>
      <w:r w:rsidR="00497491">
        <w:rPr>
          <w:rFonts w:cstheme="minorHAnsi"/>
        </w:rPr>
        <w:t>.</w:t>
      </w:r>
      <w:r w:rsidR="000D7BCE" w:rsidRPr="00497491">
        <w:rPr>
          <w:rFonts w:cstheme="minorHAnsi"/>
          <w:noProof/>
          <w:vertAlign w:val="superscript"/>
        </w:rPr>
        <w:t>2</w:t>
      </w:r>
      <w:r w:rsidRPr="00171176">
        <w:rPr>
          <w:rFonts w:cstheme="minorHAnsi"/>
        </w:rPr>
        <w:t xml:space="preserve"> This guideline has been endorsed by the AES. </w:t>
      </w:r>
    </w:p>
    <w:p w14:paraId="0E86BE44" w14:textId="77777777" w:rsidR="006A3481" w:rsidRPr="00171176" w:rsidRDefault="006A3481" w:rsidP="000C2659">
      <w:pPr>
        <w:pStyle w:val="NoSpacing"/>
        <w:rPr>
          <w:rFonts w:cstheme="minorHAnsi"/>
          <w:b/>
        </w:rPr>
      </w:pPr>
    </w:p>
    <w:p w14:paraId="2E8B89A5" w14:textId="3D268B3C" w:rsidR="006A3481" w:rsidRPr="00171176" w:rsidRDefault="00E412BA" w:rsidP="00FD2387">
      <w:pPr>
        <w:pStyle w:val="NoSpacing"/>
        <w:rPr>
          <w:rFonts w:cstheme="minorHAnsi"/>
          <w:b/>
          <w:bCs/>
        </w:rPr>
      </w:pPr>
      <w:r w:rsidRPr="00171176">
        <w:rPr>
          <w:rFonts w:cstheme="minorHAnsi"/>
          <w:b/>
          <w:bCs/>
        </w:rPr>
        <w:t>Diagnostic Yield of</w:t>
      </w:r>
      <w:r w:rsidR="006A3481" w:rsidRPr="00171176">
        <w:rPr>
          <w:rFonts w:cstheme="minorHAnsi"/>
          <w:b/>
          <w:bCs/>
        </w:rPr>
        <w:t xml:space="preserve"> </w:t>
      </w:r>
      <w:r w:rsidR="000C2659" w:rsidRPr="00171176">
        <w:rPr>
          <w:rFonts w:cstheme="minorHAnsi"/>
          <w:b/>
          <w:bCs/>
        </w:rPr>
        <w:t>Exome</w:t>
      </w:r>
      <w:r w:rsidR="006A3481" w:rsidRPr="00171176">
        <w:rPr>
          <w:rFonts w:cstheme="minorHAnsi"/>
          <w:b/>
          <w:bCs/>
        </w:rPr>
        <w:t xml:space="preserve"> Sequencing</w:t>
      </w:r>
    </w:p>
    <w:p w14:paraId="782A9D64" w14:textId="2EBCD364" w:rsidR="00FD2387" w:rsidRPr="00132909" w:rsidRDefault="00FD2387" w:rsidP="00FD2387">
      <w:pPr>
        <w:pStyle w:val="NoSpacing"/>
        <w:rPr>
          <w:rFonts w:cstheme="minorHAnsi"/>
        </w:rPr>
      </w:pPr>
      <w:r w:rsidRPr="00171176">
        <w:rPr>
          <w:rFonts w:cstheme="minorHAnsi"/>
        </w:rPr>
        <w:t>ES has a diagnostic yield two to three times higher than traditional genetic testing (e.g. chromosomal microarray, single gene or targeted panel testing)</w:t>
      </w:r>
      <w:r w:rsidR="00EE32E3">
        <w:rPr>
          <w:rFonts w:cstheme="minorHAnsi"/>
        </w:rPr>
        <w:t>.</w:t>
      </w:r>
      <w:r w:rsidR="000D7BCE" w:rsidRPr="00EE32E3">
        <w:rPr>
          <w:rFonts w:cstheme="minorHAnsi"/>
          <w:noProof/>
          <w:vertAlign w:val="superscript"/>
        </w:rPr>
        <w:t>4, 5</w:t>
      </w:r>
      <w:r w:rsidR="00800336">
        <w:rPr>
          <w:rFonts w:cstheme="minorHAnsi"/>
        </w:rPr>
        <w:t xml:space="preserve"> </w:t>
      </w:r>
      <w:r w:rsidRPr="00171176">
        <w:rPr>
          <w:rFonts w:cstheme="minorHAnsi"/>
        </w:rPr>
        <w:t>A systematic review and meta-analysis of 37 studies, which included &gt;20,000 patients with suspected rare disease, reported a diagnostic yield of 36% for ES</w:t>
      </w:r>
      <w:r w:rsidR="00EE32E3">
        <w:rPr>
          <w:rFonts w:cstheme="minorHAnsi"/>
        </w:rPr>
        <w:t>.</w:t>
      </w:r>
      <w:r w:rsidR="000D7BCE" w:rsidRPr="00EE32E3">
        <w:rPr>
          <w:rFonts w:cstheme="minorHAnsi"/>
          <w:noProof/>
          <w:vertAlign w:val="superscript"/>
        </w:rPr>
        <w:t>4</w:t>
      </w:r>
      <w:r w:rsidRPr="00171176">
        <w:rPr>
          <w:rFonts w:cstheme="minorHAnsi"/>
        </w:rPr>
        <w:t xml:space="preserve"> A technology assessment that included 34 </w:t>
      </w:r>
      <w:r w:rsidRPr="00132909">
        <w:rPr>
          <w:rFonts w:cstheme="minorHAnsi"/>
        </w:rPr>
        <w:t>studies and &gt;9000 patients with unexplained development disability and/or multiple congenital anomalies reported a 37% (95% confidence interval, 34% to 40%) diagnostic yield for ES</w:t>
      </w:r>
      <w:r w:rsidR="00EE32E3" w:rsidRPr="00132909">
        <w:rPr>
          <w:rFonts w:cstheme="minorHAnsi"/>
        </w:rPr>
        <w:t>.</w:t>
      </w:r>
      <w:r w:rsidR="000D7BCE" w:rsidRPr="00132909">
        <w:rPr>
          <w:rFonts w:cstheme="minorHAnsi"/>
          <w:noProof/>
          <w:vertAlign w:val="superscript"/>
        </w:rPr>
        <w:t>6</w:t>
      </w:r>
    </w:p>
    <w:p w14:paraId="70B859BF" w14:textId="77777777" w:rsidR="00391B28" w:rsidRPr="00132909" w:rsidRDefault="00391B28" w:rsidP="00FD2387">
      <w:pPr>
        <w:pStyle w:val="NoSpacing"/>
        <w:rPr>
          <w:rFonts w:cstheme="minorHAnsi"/>
        </w:rPr>
      </w:pPr>
    </w:p>
    <w:p w14:paraId="049F506C" w14:textId="011E3F41" w:rsidR="006E0B7B" w:rsidRPr="00132909" w:rsidRDefault="006E0B7B" w:rsidP="006E0B7B">
      <w:pPr>
        <w:pStyle w:val="NoSpacing"/>
        <w:rPr>
          <w:rFonts w:ascii="Calibri" w:hAnsi="Calibri" w:cs="Calibri"/>
          <w:b/>
          <w:bCs/>
        </w:rPr>
      </w:pPr>
      <w:r w:rsidRPr="00132909">
        <w:rPr>
          <w:rFonts w:ascii="Calibri" w:hAnsi="Calibri" w:cs="Calibri"/>
          <w:b/>
          <w:bCs/>
        </w:rPr>
        <w:t xml:space="preserve">Exome </w:t>
      </w:r>
      <w:r w:rsidR="00AF6B1B" w:rsidRPr="00132909">
        <w:rPr>
          <w:rFonts w:ascii="Calibri" w:hAnsi="Calibri" w:cs="Calibri"/>
          <w:b/>
          <w:bCs/>
        </w:rPr>
        <w:t>S</w:t>
      </w:r>
      <w:r w:rsidRPr="00132909">
        <w:rPr>
          <w:rFonts w:ascii="Calibri" w:hAnsi="Calibri" w:cs="Calibri"/>
          <w:b/>
          <w:bCs/>
        </w:rPr>
        <w:t xml:space="preserve">equencing Leads to Changes in Medical Management </w:t>
      </w:r>
    </w:p>
    <w:p w14:paraId="345C0C66" w14:textId="60D55873" w:rsidR="00391B28" w:rsidRPr="00171176" w:rsidRDefault="00612083" w:rsidP="00391B28">
      <w:pPr>
        <w:pStyle w:val="NoSpacing"/>
        <w:rPr>
          <w:rFonts w:cstheme="minorHAnsi"/>
        </w:rPr>
      </w:pPr>
      <w:r w:rsidRPr="00132909">
        <w:rPr>
          <w:rFonts w:cstheme="minorHAnsi"/>
        </w:rPr>
        <w:t>Clinical utility studies have reported a 26% to 64% change in medical management for individuals with a positive ES result</w:t>
      </w:r>
      <w:r w:rsidR="00EE32E3" w:rsidRPr="00132909">
        <w:rPr>
          <w:rFonts w:cstheme="minorHAnsi"/>
        </w:rPr>
        <w:t>.</w:t>
      </w:r>
      <w:r w:rsidR="000D7BCE" w:rsidRPr="00132909">
        <w:rPr>
          <w:rFonts w:cstheme="minorHAnsi"/>
          <w:noProof/>
          <w:vertAlign w:val="superscript"/>
        </w:rPr>
        <w:t>7,8</w:t>
      </w:r>
      <w:r w:rsidR="0097325F" w:rsidRPr="00132909">
        <w:rPr>
          <w:rFonts w:cstheme="minorHAnsi"/>
        </w:rPr>
        <w:t xml:space="preserve"> </w:t>
      </w:r>
      <w:r w:rsidRPr="00132909">
        <w:rPr>
          <w:rFonts w:cstheme="minorHAnsi"/>
        </w:rPr>
        <w:t>In a systematic evidence review of ES for patients with congenital anomalies (CAs), developmental delay (DD), and/or intellectual disability (ID) initiated by ACMG, 95% of the 167 included studies reported a change to clinical management</w:t>
      </w:r>
      <w:r w:rsidR="00EE32E3" w:rsidRPr="00132909">
        <w:rPr>
          <w:rFonts w:cstheme="minorHAnsi"/>
        </w:rPr>
        <w:t>.</w:t>
      </w:r>
      <w:r w:rsidR="000D7BCE" w:rsidRPr="00132909">
        <w:rPr>
          <w:rFonts w:cstheme="minorHAnsi"/>
          <w:noProof/>
          <w:vertAlign w:val="superscript"/>
        </w:rPr>
        <w:t>9</w:t>
      </w:r>
      <w:r w:rsidRPr="00132909">
        <w:rPr>
          <w:rFonts w:cstheme="minorHAnsi"/>
          <w:vertAlign w:val="superscript"/>
        </w:rPr>
        <w:t xml:space="preserve"> </w:t>
      </w:r>
      <w:r w:rsidRPr="00132909">
        <w:rPr>
          <w:rFonts w:cstheme="minorHAnsi"/>
        </w:rPr>
        <w:t>These modifications</w:t>
      </w:r>
      <w:r w:rsidRPr="00171176">
        <w:rPr>
          <w:rFonts w:cstheme="minorHAnsi"/>
        </w:rPr>
        <w:t xml:space="preserve"> included change in medication (new treatment or halting an existing one), alteration to diet, change in planned procedures or surveillance (surgery, imaging, and/or diagnostic studies), referral to specialist, testing of family members, and/or impact on future reproductive planning</w:t>
      </w:r>
      <w:r w:rsidR="00EE32E3">
        <w:rPr>
          <w:rFonts w:cstheme="minorHAnsi"/>
        </w:rPr>
        <w:t>.</w:t>
      </w:r>
      <w:r w:rsidR="000D7BCE" w:rsidRPr="00EE32E3">
        <w:rPr>
          <w:rFonts w:cstheme="minorHAnsi"/>
          <w:noProof/>
          <w:vertAlign w:val="superscript"/>
        </w:rPr>
        <w:t>9</w:t>
      </w:r>
      <w:r w:rsidR="009427D5" w:rsidRPr="00171176">
        <w:rPr>
          <w:rFonts w:cstheme="minorHAnsi"/>
        </w:rPr>
        <w:t xml:space="preserve"> </w:t>
      </w:r>
      <w:r w:rsidRPr="00171176">
        <w:rPr>
          <w:rFonts w:cstheme="minorHAnsi"/>
        </w:rPr>
        <w:t>Some of these changes included discontinuation of unnecessary procedures (e.g. diagnostic tissue biopsy), avoidance of certain drugs, or withdrawal of care/start of palliative care</w:t>
      </w:r>
      <w:r w:rsidR="00EE32E3">
        <w:rPr>
          <w:rFonts w:cstheme="minorHAnsi"/>
        </w:rPr>
        <w:t>.</w:t>
      </w:r>
      <w:r w:rsidR="000D7BCE" w:rsidRPr="00EE32E3">
        <w:rPr>
          <w:rFonts w:cstheme="minorHAnsi"/>
          <w:noProof/>
          <w:vertAlign w:val="superscript"/>
        </w:rPr>
        <w:t>9</w:t>
      </w:r>
      <w:r w:rsidR="009427D5" w:rsidRPr="00171176">
        <w:rPr>
          <w:rFonts w:cstheme="minorHAnsi"/>
        </w:rPr>
        <w:t xml:space="preserve"> </w:t>
      </w:r>
      <w:r w:rsidRPr="00171176">
        <w:rPr>
          <w:rFonts w:cstheme="minorHAnsi"/>
        </w:rPr>
        <w:t>In 2 additional systematic reviews, similar changes in management were reported following ES for patients in select populations. These systematic reviews reported 38% of patients with epilepsy and positive ES having a change in medical management</w:t>
      </w:r>
      <w:r w:rsidR="000D7BCE" w:rsidRPr="008606B4">
        <w:rPr>
          <w:rFonts w:cstheme="minorHAnsi"/>
          <w:noProof/>
          <w:vertAlign w:val="superscript"/>
        </w:rPr>
        <w:t>3</w:t>
      </w:r>
      <w:r w:rsidRPr="00171176">
        <w:rPr>
          <w:rFonts w:cstheme="minorHAnsi"/>
        </w:rPr>
        <w:t xml:space="preserve"> as well </w:t>
      </w:r>
      <w:r w:rsidRPr="00171176">
        <w:rPr>
          <w:rFonts w:cstheme="minorHAnsi"/>
        </w:rPr>
        <w:lastRenderedPageBreak/>
        <w:t>as neurodevelopmental disorders including intellectual disability, developmental delay, and autism in which 30% with a diagnosis by ES had a change in clinical management and 80% in reproductive planning</w:t>
      </w:r>
      <w:r w:rsidR="008606B4">
        <w:rPr>
          <w:rFonts w:cstheme="minorHAnsi"/>
        </w:rPr>
        <w:t>.</w:t>
      </w:r>
      <w:r w:rsidR="000D7BCE" w:rsidRPr="008606B4">
        <w:rPr>
          <w:rFonts w:cstheme="minorHAnsi"/>
          <w:noProof/>
          <w:vertAlign w:val="superscript"/>
        </w:rPr>
        <w:t>10</w:t>
      </w:r>
    </w:p>
    <w:p w14:paraId="104BAC66" w14:textId="77777777" w:rsidR="00B92AA4" w:rsidRPr="00171176" w:rsidRDefault="00B92AA4" w:rsidP="00391B28">
      <w:pPr>
        <w:pStyle w:val="NoSpacing"/>
        <w:rPr>
          <w:rFonts w:cstheme="minorHAnsi"/>
        </w:rPr>
      </w:pPr>
    </w:p>
    <w:p w14:paraId="04FD3747" w14:textId="6B2AA66F" w:rsidR="00B27690" w:rsidRPr="00171176" w:rsidRDefault="0034028B" w:rsidP="00391B28">
      <w:pPr>
        <w:pStyle w:val="NoSpacing"/>
        <w:rPr>
          <w:rFonts w:cstheme="minorHAnsi"/>
          <w:b/>
        </w:rPr>
      </w:pPr>
      <w:r w:rsidRPr="00171176">
        <w:rPr>
          <w:rFonts w:cstheme="minorHAnsi"/>
          <w:b/>
        </w:rPr>
        <w:t>Comparator Analysis</w:t>
      </w:r>
    </w:p>
    <w:p w14:paraId="29676658" w14:textId="5D112C0C" w:rsidR="0034028B" w:rsidRPr="00171176" w:rsidRDefault="00213994" w:rsidP="001D40CC">
      <w:pPr>
        <w:pStyle w:val="NoSpacing"/>
        <w:rPr>
          <w:rFonts w:cstheme="minorHAnsi"/>
        </w:rPr>
      </w:pPr>
      <w:r w:rsidRPr="00171176">
        <w:rPr>
          <w:rFonts w:cstheme="minorHAnsi"/>
        </w:rPr>
        <w:t>ES typically includes the use of familial DNA samples (typically the biological parents) for genetic comparison. The use of one or two comparator samples is known as duo or trio testing, respectively.</w:t>
      </w:r>
      <w:r w:rsidRPr="00171176">
        <w:rPr>
          <w:rFonts w:eastAsiaTheme="minorEastAsia" w:cstheme="minorHAnsi"/>
        </w:rPr>
        <w:t xml:space="preserve"> The familial DNA for comparison </w:t>
      </w:r>
      <w:r w:rsidRPr="00171176">
        <w:rPr>
          <w:rFonts w:cstheme="minorHAnsi"/>
        </w:rPr>
        <w:t xml:space="preserve">helps in the interpretation of variants identified by ES by </w:t>
      </w:r>
      <w:r w:rsidRPr="00171176">
        <w:rPr>
          <w:rFonts w:eastAsiaTheme="minorEastAsia" w:cstheme="minorHAnsi"/>
        </w:rPr>
        <w:t xml:space="preserve">allowing the laboratory scientists to better contextualize identified variants. With this added context, </w:t>
      </w:r>
      <w:r w:rsidRPr="00171176">
        <w:rPr>
          <w:rFonts w:cstheme="minorHAnsi"/>
        </w:rPr>
        <w:t>this comprehensive analysis enables prioritization of disease-causing variants leading to a higher diagnostic yield and decreased chance of finding a variant of unknown significance (VUS) compared to proband-only analysis. Publications have reported an additional yield of about 7% to 15% for trio analysis compared to proband-only</w:t>
      </w:r>
      <w:r w:rsidR="000D7BCE" w:rsidRPr="00142BD8">
        <w:rPr>
          <w:rFonts w:cstheme="minorHAnsi"/>
          <w:noProof/>
          <w:vertAlign w:val="superscript"/>
        </w:rPr>
        <w:t>11-14</w:t>
      </w:r>
      <w:r w:rsidR="00182AC9">
        <w:rPr>
          <w:rFonts w:cstheme="minorHAnsi"/>
        </w:rPr>
        <w:t xml:space="preserve"> </w:t>
      </w:r>
      <w:r w:rsidR="00965396" w:rsidRPr="00171176">
        <w:rPr>
          <w:rFonts w:cstheme="minorHAnsi"/>
          <w:noProof/>
        </w:rPr>
        <w:t>and a reduction in VUSs of</w:t>
      </w:r>
      <w:r w:rsidR="00965396" w:rsidRPr="00171176">
        <w:rPr>
          <w:rFonts w:cstheme="minorHAnsi"/>
        </w:rPr>
        <w:t xml:space="preserve"> </w:t>
      </w:r>
      <w:r w:rsidR="00E2243A">
        <w:rPr>
          <w:rFonts w:cstheme="minorHAnsi"/>
          <w:noProof/>
        </w:rPr>
        <w:t xml:space="preserve">about </w:t>
      </w:r>
      <w:r w:rsidR="00965396" w:rsidRPr="00171176">
        <w:rPr>
          <w:rFonts w:cstheme="minorHAnsi"/>
          <w:noProof/>
        </w:rPr>
        <w:t>9%</w:t>
      </w:r>
      <w:r w:rsidR="00533706">
        <w:rPr>
          <w:rFonts w:cstheme="minorHAnsi"/>
        </w:rPr>
        <w:t>.</w:t>
      </w:r>
      <w:r w:rsidR="000D7BCE" w:rsidRPr="00533706">
        <w:rPr>
          <w:rFonts w:cstheme="minorHAnsi"/>
          <w:noProof/>
          <w:vertAlign w:val="superscript"/>
        </w:rPr>
        <w:t>15</w:t>
      </w:r>
      <w:r w:rsidR="00C5728B">
        <w:rPr>
          <w:rFonts w:cstheme="minorHAnsi"/>
        </w:rPr>
        <w:t xml:space="preserve"> </w:t>
      </w:r>
      <w:r w:rsidR="0034028B" w:rsidRPr="00171176">
        <w:rPr>
          <w:rFonts w:cstheme="minorHAnsi"/>
        </w:rPr>
        <w:t>Guidelines prefer the use of trio analysis</w:t>
      </w:r>
      <w:r w:rsidR="004C2C7D" w:rsidRPr="00171176">
        <w:rPr>
          <w:rFonts w:cstheme="minorHAnsi"/>
        </w:rPr>
        <w:t>, f</w:t>
      </w:r>
      <w:r w:rsidR="0034028B" w:rsidRPr="00171176">
        <w:rPr>
          <w:rFonts w:cstheme="minorHAnsi"/>
        </w:rPr>
        <w:t xml:space="preserve">or example, ACMG states </w:t>
      </w:r>
      <w:r w:rsidR="0034028B" w:rsidRPr="00171176">
        <w:rPr>
          <w:rFonts w:cstheme="minorHAnsi"/>
          <w:i/>
          <w:iCs/>
        </w:rPr>
        <w:t>“best practice includes familial comparators (“trio”) if available to help contextualize rare variants</w:t>
      </w:r>
      <w:r w:rsidR="00F42966" w:rsidRPr="00171176">
        <w:rPr>
          <w:rFonts w:cstheme="minorHAnsi"/>
          <w:i/>
          <w:iCs/>
        </w:rPr>
        <w:t>.</w:t>
      </w:r>
      <w:r w:rsidR="0034028B" w:rsidRPr="00171176">
        <w:rPr>
          <w:rFonts w:cstheme="minorHAnsi"/>
          <w:i/>
          <w:iCs/>
        </w:rPr>
        <w:t>”</w:t>
      </w:r>
      <w:r w:rsidR="000D7BCE" w:rsidRPr="00533706">
        <w:rPr>
          <w:rFonts w:cstheme="minorHAnsi"/>
          <w:noProof/>
          <w:vertAlign w:val="superscript"/>
        </w:rPr>
        <w:t>1</w:t>
      </w:r>
    </w:p>
    <w:p w14:paraId="256FB60E" w14:textId="77777777" w:rsidR="00391B28" w:rsidRPr="00171176" w:rsidRDefault="00391B28" w:rsidP="001D40CC">
      <w:pPr>
        <w:pStyle w:val="NoSpacing"/>
        <w:rPr>
          <w:rFonts w:cstheme="minorHAnsi"/>
        </w:rPr>
      </w:pPr>
    </w:p>
    <w:p w14:paraId="013E4E14" w14:textId="77777777" w:rsidR="00B374A4" w:rsidRPr="00171176" w:rsidRDefault="00B374A4" w:rsidP="001D40CC">
      <w:pPr>
        <w:pStyle w:val="NoSpacing"/>
        <w:rPr>
          <w:rFonts w:cstheme="minorHAnsi"/>
          <w:b/>
        </w:rPr>
      </w:pPr>
      <w:r w:rsidRPr="00171176">
        <w:rPr>
          <w:rFonts w:cstheme="minorHAnsi"/>
          <w:b/>
        </w:rPr>
        <w:t>Summary</w:t>
      </w:r>
    </w:p>
    <w:p w14:paraId="4E45F9FB" w14:textId="10C12EC5" w:rsidR="00AB2F4A" w:rsidRPr="00171176" w:rsidRDefault="000938C7" w:rsidP="001D40CC">
      <w:pPr>
        <w:pStyle w:val="NoSpacing"/>
        <w:rPr>
          <w:rFonts w:cstheme="minorHAnsi"/>
        </w:rPr>
      </w:pPr>
      <w:proofErr w:type="spellStart"/>
      <w:r w:rsidRPr="00171176">
        <w:rPr>
          <w:rFonts w:cstheme="minorHAnsi"/>
        </w:rPr>
        <w:t>XomeDx</w:t>
      </w:r>
      <w:proofErr w:type="spellEnd"/>
      <w:r w:rsidRPr="00171176">
        <w:rPr>
          <w:rFonts w:cstheme="minorHAnsi"/>
        </w:rPr>
        <w:t xml:space="preserve"> </w:t>
      </w:r>
      <w:r w:rsidR="00342070" w:rsidRPr="00171176">
        <w:rPr>
          <w:rFonts w:cstheme="minorHAnsi"/>
        </w:rPr>
        <w:t xml:space="preserve">is a highly sensitive </w:t>
      </w:r>
      <w:r w:rsidR="00AB2F4A" w:rsidRPr="00171176">
        <w:rPr>
          <w:rFonts w:cstheme="minorHAnsi"/>
        </w:rPr>
        <w:t>and cost-effective geneti</w:t>
      </w:r>
      <w:r w:rsidR="00342070" w:rsidRPr="00171176">
        <w:rPr>
          <w:rFonts w:cstheme="minorHAnsi"/>
        </w:rPr>
        <w:t>c test</w:t>
      </w:r>
      <w:r w:rsidR="00AB2F4A" w:rsidRPr="00171176">
        <w:rPr>
          <w:rFonts w:cstheme="minorHAnsi"/>
        </w:rPr>
        <w:t xml:space="preserve">. </w:t>
      </w:r>
      <w:r w:rsidR="00FB3BE6" w:rsidRPr="00171176">
        <w:rPr>
          <w:rFonts w:cstheme="minorHAnsi"/>
        </w:rPr>
        <w:t>I am requesting coverage for this medically necessary</w:t>
      </w:r>
      <w:r w:rsidR="00205DB4" w:rsidRPr="00171176">
        <w:rPr>
          <w:rFonts w:cstheme="minorHAnsi"/>
        </w:rPr>
        <w:t xml:space="preserve"> test</w:t>
      </w:r>
      <w:r w:rsidR="00FB3BE6" w:rsidRPr="00171176">
        <w:rPr>
          <w:rFonts w:cstheme="minorHAnsi"/>
        </w:rPr>
        <w:t xml:space="preserve"> </w:t>
      </w:r>
      <w:r w:rsidR="00E04C9D" w:rsidRPr="00171176">
        <w:rPr>
          <w:rFonts w:cstheme="minorHAnsi"/>
        </w:rPr>
        <w:t xml:space="preserve">to </w:t>
      </w:r>
      <w:r w:rsidR="00FB3BE6" w:rsidRPr="00171176">
        <w:rPr>
          <w:rFonts w:cstheme="minorHAnsi"/>
        </w:rPr>
        <w:t>establish</w:t>
      </w:r>
      <w:r w:rsidR="00E04C9D" w:rsidRPr="00171176">
        <w:rPr>
          <w:rFonts w:cstheme="minorHAnsi"/>
        </w:rPr>
        <w:t xml:space="preserve"> appropriate medical management for this patient. Without testing, treatment would be suboptimal, subjecting this patient to increased morbidity and potentially early mortality.  </w:t>
      </w:r>
    </w:p>
    <w:p w14:paraId="6D93EC2C" w14:textId="77777777" w:rsidR="00205DB4" w:rsidRPr="00171176" w:rsidRDefault="00205DB4" w:rsidP="00391B28">
      <w:pPr>
        <w:pStyle w:val="NoSpacing"/>
        <w:rPr>
          <w:rFonts w:cstheme="minorHAnsi"/>
        </w:rPr>
      </w:pPr>
    </w:p>
    <w:p w14:paraId="5ED83F0E" w14:textId="77777777" w:rsidR="00AB2F4A" w:rsidRPr="00171176" w:rsidRDefault="00AB2F4A" w:rsidP="00391B28">
      <w:pPr>
        <w:pStyle w:val="NoSpacing"/>
        <w:rPr>
          <w:rFonts w:cstheme="minorHAnsi"/>
        </w:rPr>
      </w:pPr>
      <w:r w:rsidRPr="00171176">
        <w:rPr>
          <w:rFonts w:cstheme="minorHAnsi"/>
        </w:rPr>
        <w:t xml:space="preserve">Thank you for your review and consideration.  If you have questions, or if I can be of further assistance, please do not hesitate to call me at </w:t>
      </w:r>
      <w:r w:rsidRPr="00171176">
        <w:rPr>
          <w:rFonts w:cstheme="minorHAnsi"/>
          <w:color w:val="FF0000"/>
        </w:rPr>
        <w:t>(XXX) XXX-XXXX</w:t>
      </w:r>
      <w:r w:rsidRPr="00171176">
        <w:rPr>
          <w:rFonts w:cstheme="minorHAnsi"/>
        </w:rPr>
        <w:t>.</w:t>
      </w:r>
    </w:p>
    <w:p w14:paraId="28F7EBA8" w14:textId="77777777" w:rsidR="00205DB4" w:rsidRPr="00171176" w:rsidRDefault="00205DB4" w:rsidP="00391B28">
      <w:pPr>
        <w:pStyle w:val="NoSpacing"/>
        <w:rPr>
          <w:rFonts w:cstheme="minorHAnsi"/>
        </w:rPr>
      </w:pPr>
    </w:p>
    <w:p w14:paraId="4A185144" w14:textId="77777777" w:rsidR="00205DB4" w:rsidRPr="00171176" w:rsidRDefault="00205DB4" w:rsidP="00391B28">
      <w:pPr>
        <w:pStyle w:val="NoSpacing"/>
        <w:rPr>
          <w:rFonts w:cstheme="minorHAnsi"/>
        </w:rPr>
      </w:pPr>
      <w:r w:rsidRPr="00171176">
        <w:rPr>
          <w:rFonts w:cstheme="minorHAnsi"/>
        </w:rPr>
        <w:t>Sincerely,</w:t>
      </w:r>
    </w:p>
    <w:p w14:paraId="21F27140" w14:textId="77777777" w:rsidR="00205DB4" w:rsidRPr="00171176" w:rsidRDefault="00205DB4" w:rsidP="00AB2F4A">
      <w:pPr>
        <w:pStyle w:val="NoSpacing"/>
        <w:rPr>
          <w:rFonts w:cstheme="minorHAnsi"/>
        </w:rPr>
      </w:pPr>
    </w:p>
    <w:p w14:paraId="6CEF6C07" w14:textId="77777777" w:rsidR="00205DB4" w:rsidRPr="00171176" w:rsidRDefault="00342070" w:rsidP="00AB2F4A">
      <w:pPr>
        <w:pStyle w:val="NoSpacing"/>
        <w:rPr>
          <w:rFonts w:cstheme="minorHAnsi"/>
          <w:color w:val="FF0000"/>
        </w:rPr>
      </w:pPr>
      <w:r w:rsidRPr="00171176">
        <w:rPr>
          <w:rFonts w:cstheme="minorHAnsi"/>
          <w:color w:val="FF0000"/>
        </w:rPr>
        <w:t>Signature</w:t>
      </w:r>
    </w:p>
    <w:p w14:paraId="38104932" w14:textId="77777777" w:rsidR="00205DB4" w:rsidRPr="00171176" w:rsidRDefault="00205DB4" w:rsidP="00AB2F4A">
      <w:pPr>
        <w:pStyle w:val="NoSpacing"/>
        <w:rPr>
          <w:rFonts w:cstheme="minorHAnsi"/>
          <w:color w:val="FF0000"/>
        </w:rPr>
      </w:pPr>
      <w:r w:rsidRPr="00171176">
        <w:rPr>
          <w:rFonts w:cstheme="minorHAnsi"/>
          <w:color w:val="FF0000"/>
        </w:rPr>
        <w:t xml:space="preserve">Ordering Provider’s Name </w:t>
      </w:r>
    </w:p>
    <w:p w14:paraId="20A7D0B8" w14:textId="77777777" w:rsidR="0010196B" w:rsidRPr="00171176" w:rsidRDefault="0010196B" w:rsidP="00AB2F4A">
      <w:pPr>
        <w:pStyle w:val="NoSpacing"/>
        <w:rPr>
          <w:rFonts w:cstheme="minorHAnsi"/>
          <w:color w:val="FF0000"/>
        </w:rPr>
      </w:pPr>
    </w:p>
    <w:p w14:paraId="03259E49" w14:textId="77777777" w:rsidR="0010196B" w:rsidRPr="00171176" w:rsidRDefault="0010196B" w:rsidP="0010196B">
      <w:pPr>
        <w:pStyle w:val="NoSpacing"/>
        <w:rPr>
          <w:rFonts w:cstheme="minorHAnsi"/>
          <w:b/>
          <w:bCs/>
        </w:rPr>
      </w:pPr>
      <w:r w:rsidRPr="00171176">
        <w:rPr>
          <w:rFonts w:cstheme="minorHAnsi"/>
          <w:b/>
          <w:bCs/>
        </w:rPr>
        <w:t>References</w:t>
      </w:r>
    </w:p>
    <w:p w14:paraId="1D3A771A" w14:textId="6AF62893" w:rsidR="003A0357" w:rsidRPr="003A0357" w:rsidRDefault="003A0357" w:rsidP="000D7BCE">
      <w:pPr>
        <w:pStyle w:val="NoSpacing"/>
        <w:ind w:left="720" w:hanging="720"/>
        <w:rPr>
          <w:noProof/>
        </w:rPr>
      </w:pPr>
      <w:r w:rsidRPr="003A0357">
        <w:rPr>
          <w:noProof/>
        </w:rPr>
        <w:t>1.</w:t>
      </w:r>
      <w:r w:rsidRPr="003A0357">
        <w:rPr>
          <w:noProof/>
        </w:rPr>
        <w:tab/>
        <w:t xml:space="preserve">Manickam, K., et al., </w:t>
      </w:r>
      <w:r w:rsidRPr="003A0357">
        <w:rPr>
          <w:i/>
          <w:noProof/>
        </w:rPr>
        <w:t>Exome and genome sequencing for pediatric patients with congenital anomalies or intellectual disability: an evidence-based clinical guideline of the American College of Medical Genetics and Genomics (ACMG).</w:t>
      </w:r>
      <w:r w:rsidRPr="003A0357">
        <w:rPr>
          <w:noProof/>
        </w:rPr>
        <w:t xml:space="preserve"> Genet Med, 2021. </w:t>
      </w:r>
      <w:r w:rsidRPr="003A0357">
        <w:rPr>
          <w:b/>
          <w:noProof/>
        </w:rPr>
        <w:t>23</w:t>
      </w:r>
      <w:r w:rsidRPr="003A0357">
        <w:rPr>
          <w:noProof/>
        </w:rPr>
        <w:t>(11): p. 2029-2037.</w:t>
      </w:r>
    </w:p>
    <w:p w14:paraId="4DDA2746" w14:textId="77777777" w:rsidR="003A0357" w:rsidRPr="003A0357" w:rsidRDefault="003A0357" w:rsidP="000D7BCE">
      <w:pPr>
        <w:pStyle w:val="NoSpacing"/>
        <w:ind w:left="720" w:hanging="720"/>
        <w:rPr>
          <w:noProof/>
        </w:rPr>
      </w:pPr>
      <w:r w:rsidRPr="003A0357">
        <w:rPr>
          <w:noProof/>
        </w:rPr>
        <w:t>2.</w:t>
      </w:r>
      <w:r w:rsidRPr="003A0357">
        <w:rPr>
          <w:noProof/>
        </w:rPr>
        <w:tab/>
        <w:t xml:space="preserve">Smith, L., et al., </w:t>
      </w:r>
      <w:r w:rsidRPr="003A0357">
        <w:rPr>
          <w:i/>
          <w:noProof/>
        </w:rPr>
        <w:t>Genetic testing and counseling for the unexplained epilepsies: An evidence-based practice guideline of the National Society of Genetic Counselors.</w:t>
      </w:r>
      <w:r w:rsidRPr="003A0357">
        <w:rPr>
          <w:noProof/>
        </w:rPr>
        <w:t xml:space="preserve"> J Genet Couns, 2022.</w:t>
      </w:r>
    </w:p>
    <w:p w14:paraId="01EEB48C" w14:textId="77777777" w:rsidR="003A0357" w:rsidRPr="003A0357" w:rsidRDefault="003A0357" w:rsidP="000D7BCE">
      <w:pPr>
        <w:pStyle w:val="NoSpacing"/>
        <w:ind w:left="720" w:hanging="720"/>
        <w:rPr>
          <w:noProof/>
        </w:rPr>
      </w:pPr>
      <w:r w:rsidRPr="003A0357">
        <w:rPr>
          <w:noProof/>
        </w:rPr>
        <w:t>3.</w:t>
      </w:r>
      <w:r w:rsidRPr="003A0357">
        <w:rPr>
          <w:noProof/>
        </w:rPr>
        <w:tab/>
        <w:t xml:space="preserve">Sheidley, B.R., et al., </w:t>
      </w:r>
      <w:r w:rsidRPr="003A0357">
        <w:rPr>
          <w:i/>
          <w:noProof/>
        </w:rPr>
        <w:t>Genetic testing for the epilepsies: A systematic review.</w:t>
      </w:r>
      <w:r w:rsidRPr="003A0357">
        <w:rPr>
          <w:noProof/>
        </w:rPr>
        <w:t xml:space="preserve"> Epilepsia, 2022. </w:t>
      </w:r>
      <w:r w:rsidRPr="003A0357">
        <w:rPr>
          <w:b/>
          <w:noProof/>
        </w:rPr>
        <w:t>63</w:t>
      </w:r>
      <w:r w:rsidRPr="003A0357">
        <w:rPr>
          <w:noProof/>
        </w:rPr>
        <w:t>(2): p. 375-387.</w:t>
      </w:r>
    </w:p>
    <w:p w14:paraId="56D482C5" w14:textId="77777777" w:rsidR="003A0357" w:rsidRPr="003A0357" w:rsidRDefault="003A0357" w:rsidP="000D7BCE">
      <w:pPr>
        <w:pStyle w:val="NoSpacing"/>
        <w:ind w:left="720" w:hanging="720"/>
        <w:rPr>
          <w:noProof/>
        </w:rPr>
      </w:pPr>
      <w:r w:rsidRPr="003A0357">
        <w:rPr>
          <w:noProof/>
        </w:rPr>
        <w:t>4.</w:t>
      </w:r>
      <w:r w:rsidRPr="003A0357">
        <w:rPr>
          <w:noProof/>
        </w:rPr>
        <w:tab/>
        <w:t xml:space="preserve">Clark, M.M., et al., </w:t>
      </w:r>
      <w:r w:rsidRPr="003A0357">
        <w:rPr>
          <w:i/>
          <w:noProof/>
        </w:rPr>
        <w:t>Meta-analysis of the diagnostic and clinical utility of genome and exome sequencing and chromosomal microarray in children with suspected genetic diseases.</w:t>
      </w:r>
      <w:r w:rsidRPr="003A0357">
        <w:rPr>
          <w:noProof/>
        </w:rPr>
        <w:t xml:space="preserve"> NPJ Genom Med, 2018. </w:t>
      </w:r>
      <w:r w:rsidRPr="003A0357">
        <w:rPr>
          <w:b/>
          <w:noProof/>
        </w:rPr>
        <w:t>3</w:t>
      </w:r>
      <w:r w:rsidRPr="003A0357">
        <w:rPr>
          <w:noProof/>
        </w:rPr>
        <w:t>: p. 16.</w:t>
      </w:r>
    </w:p>
    <w:p w14:paraId="54FE6D5A" w14:textId="77777777" w:rsidR="003A0357" w:rsidRPr="003A0357" w:rsidRDefault="003A0357" w:rsidP="000D7BCE">
      <w:pPr>
        <w:pStyle w:val="NoSpacing"/>
        <w:ind w:left="720" w:hanging="720"/>
        <w:rPr>
          <w:noProof/>
        </w:rPr>
      </w:pPr>
      <w:r w:rsidRPr="003A0357">
        <w:rPr>
          <w:noProof/>
        </w:rPr>
        <w:t>5.</w:t>
      </w:r>
      <w:r w:rsidRPr="003A0357">
        <w:rPr>
          <w:noProof/>
        </w:rPr>
        <w:tab/>
        <w:t xml:space="preserve">Savatt, J.M. and S.M. Myers, </w:t>
      </w:r>
      <w:r w:rsidRPr="003A0357">
        <w:rPr>
          <w:i/>
          <w:noProof/>
        </w:rPr>
        <w:t>Genetic Testing in Neurodevelopmental Disorders.</w:t>
      </w:r>
      <w:r w:rsidRPr="003A0357">
        <w:rPr>
          <w:noProof/>
        </w:rPr>
        <w:t xml:space="preserve"> Front Pediatr, 2021. </w:t>
      </w:r>
      <w:r w:rsidRPr="003A0357">
        <w:rPr>
          <w:b/>
          <w:noProof/>
        </w:rPr>
        <w:t>9</w:t>
      </w:r>
      <w:r w:rsidRPr="003A0357">
        <w:rPr>
          <w:noProof/>
        </w:rPr>
        <w:t>: p. 526779.</w:t>
      </w:r>
    </w:p>
    <w:p w14:paraId="69FF5BAA" w14:textId="17BB8E09" w:rsidR="003A0357" w:rsidRPr="003A0357" w:rsidRDefault="003A0357" w:rsidP="000D7BCE">
      <w:pPr>
        <w:pStyle w:val="NoSpacing"/>
        <w:ind w:left="720" w:hanging="720"/>
        <w:rPr>
          <w:noProof/>
        </w:rPr>
      </w:pPr>
      <w:r w:rsidRPr="003A0357">
        <w:rPr>
          <w:noProof/>
        </w:rPr>
        <w:t>6.</w:t>
      </w:r>
      <w:r w:rsidRPr="003A0357">
        <w:rPr>
          <w:noProof/>
        </w:rPr>
        <w:tab/>
      </w:r>
      <w:r w:rsidR="000D7BCE" w:rsidRPr="00171176">
        <w:rPr>
          <w:noProof/>
        </w:rPr>
        <w:t>Health Quality Ontario, Genome-Wide Sequencing for Unexplained Developmental Disabilities or Multiple Congenital Anomalies: A Health Technology Assessment. Ont Health Technol Assess Ser [Internet], 2020(20(11)): p. 1-178.</w:t>
      </w:r>
    </w:p>
    <w:p w14:paraId="48B6FB0F" w14:textId="77777777" w:rsidR="003A0357" w:rsidRPr="003A0357" w:rsidRDefault="003A0357" w:rsidP="000D7BCE">
      <w:pPr>
        <w:pStyle w:val="NoSpacing"/>
        <w:ind w:left="720" w:hanging="720"/>
        <w:rPr>
          <w:noProof/>
        </w:rPr>
      </w:pPr>
      <w:r w:rsidRPr="003A0357">
        <w:rPr>
          <w:noProof/>
        </w:rPr>
        <w:t>7.</w:t>
      </w:r>
      <w:r w:rsidRPr="003A0357">
        <w:rPr>
          <w:noProof/>
        </w:rPr>
        <w:tab/>
        <w:t xml:space="preserve">Incerti, D., et al., </w:t>
      </w:r>
      <w:r w:rsidRPr="003A0357">
        <w:rPr>
          <w:i/>
          <w:noProof/>
        </w:rPr>
        <w:t>Cost-effectiveness of genome sequencing for diagnosing patients with undiagnosed rare genetic diseases.</w:t>
      </w:r>
      <w:r w:rsidRPr="003A0357">
        <w:rPr>
          <w:noProof/>
        </w:rPr>
        <w:t xml:space="preserve"> Genet Med, 2022. </w:t>
      </w:r>
      <w:r w:rsidRPr="003A0357">
        <w:rPr>
          <w:b/>
          <w:noProof/>
        </w:rPr>
        <w:t>24</w:t>
      </w:r>
      <w:r w:rsidRPr="003A0357">
        <w:rPr>
          <w:noProof/>
        </w:rPr>
        <w:t>(1): p. 109-118.</w:t>
      </w:r>
    </w:p>
    <w:p w14:paraId="23EA7209" w14:textId="77777777" w:rsidR="003A0357" w:rsidRPr="003A0357" w:rsidRDefault="003A0357" w:rsidP="000D7BCE">
      <w:pPr>
        <w:pStyle w:val="NoSpacing"/>
        <w:ind w:left="720" w:hanging="720"/>
        <w:rPr>
          <w:noProof/>
        </w:rPr>
      </w:pPr>
      <w:r w:rsidRPr="003A0357">
        <w:rPr>
          <w:noProof/>
        </w:rPr>
        <w:lastRenderedPageBreak/>
        <w:t>8.</w:t>
      </w:r>
      <w:r w:rsidRPr="003A0357">
        <w:rPr>
          <w:noProof/>
        </w:rPr>
        <w:tab/>
        <w:t xml:space="preserve">Niguidula, N., et al., </w:t>
      </w:r>
      <w:r w:rsidRPr="003A0357">
        <w:rPr>
          <w:i/>
          <w:noProof/>
        </w:rPr>
        <w:t>Clinical whole-exome sequencing results impact medical management.</w:t>
      </w:r>
      <w:r w:rsidRPr="003A0357">
        <w:rPr>
          <w:noProof/>
        </w:rPr>
        <w:t xml:space="preserve"> Mol Genet Genomic Med, 2018. </w:t>
      </w:r>
      <w:r w:rsidRPr="003A0357">
        <w:rPr>
          <w:b/>
          <w:noProof/>
        </w:rPr>
        <w:t>6</w:t>
      </w:r>
      <w:r w:rsidRPr="003A0357">
        <w:rPr>
          <w:noProof/>
        </w:rPr>
        <w:t>(6): p. 1068-1078.</w:t>
      </w:r>
    </w:p>
    <w:p w14:paraId="7115A431" w14:textId="77777777" w:rsidR="003A0357" w:rsidRPr="003A0357" w:rsidRDefault="003A0357" w:rsidP="000D7BCE">
      <w:pPr>
        <w:pStyle w:val="NoSpacing"/>
        <w:ind w:left="720" w:hanging="720"/>
        <w:rPr>
          <w:noProof/>
        </w:rPr>
      </w:pPr>
      <w:r w:rsidRPr="003A0357">
        <w:rPr>
          <w:noProof/>
        </w:rPr>
        <w:t>9.</w:t>
      </w:r>
      <w:r w:rsidRPr="003A0357">
        <w:rPr>
          <w:noProof/>
        </w:rPr>
        <w:tab/>
        <w:t xml:space="preserve">Malinowski, J., et al., </w:t>
      </w:r>
      <w:r w:rsidRPr="003A0357">
        <w:rPr>
          <w:i/>
          <w:noProof/>
        </w:rPr>
        <w:t>Systematic evidence-based review: outcomes from exome and genome sequencing for pediatric patients with congenital anomalies or intellectual disability.</w:t>
      </w:r>
      <w:r w:rsidRPr="003A0357">
        <w:rPr>
          <w:noProof/>
        </w:rPr>
        <w:t xml:space="preserve"> Genet Med, 2020. </w:t>
      </w:r>
      <w:r w:rsidRPr="003A0357">
        <w:rPr>
          <w:b/>
          <w:noProof/>
        </w:rPr>
        <w:t>22</w:t>
      </w:r>
      <w:r w:rsidRPr="003A0357">
        <w:rPr>
          <w:noProof/>
        </w:rPr>
        <w:t>(6): p. 986-1004.</w:t>
      </w:r>
    </w:p>
    <w:p w14:paraId="4E501B12" w14:textId="77777777" w:rsidR="003A0357" w:rsidRPr="003A0357" w:rsidRDefault="003A0357" w:rsidP="000D7BCE">
      <w:pPr>
        <w:pStyle w:val="NoSpacing"/>
        <w:ind w:left="720" w:hanging="720"/>
        <w:rPr>
          <w:noProof/>
        </w:rPr>
      </w:pPr>
      <w:r w:rsidRPr="003A0357">
        <w:rPr>
          <w:noProof/>
        </w:rPr>
        <w:t>10.</w:t>
      </w:r>
      <w:r w:rsidRPr="003A0357">
        <w:rPr>
          <w:noProof/>
        </w:rPr>
        <w:tab/>
        <w:t xml:space="preserve">Srivastava, S., et al., </w:t>
      </w:r>
      <w:r w:rsidRPr="003A0357">
        <w:rPr>
          <w:i/>
          <w:noProof/>
        </w:rPr>
        <w:t>Meta-analysis and multidisciplinary consensus statement: exome sequencing is a first-tier clinical diagnostic test for individuals with neurodevelopmental disorders.</w:t>
      </w:r>
      <w:r w:rsidRPr="003A0357">
        <w:rPr>
          <w:noProof/>
        </w:rPr>
        <w:t xml:space="preserve"> Genet Med, 2019. </w:t>
      </w:r>
      <w:r w:rsidRPr="003A0357">
        <w:rPr>
          <w:b/>
          <w:noProof/>
        </w:rPr>
        <w:t>21</w:t>
      </w:r>
      <w:r w:rsidRPr="003A0357">
        <w:rPr>
          <w:noProof/>
        </w:rPr>
        <w:t>(11): p. 2413-2421.</w:t>
      </w:r>
    </w:p>
    <w:p w14:paraId="12C0EB61" w14:textId="77777777" w:rsidR="003A0357" w:rsidRPr="003A0357" w:rsidRDefault="003A0357" w:rsidP="000D7BCE">
      <w:pPr>
        <w:pStyle w:val="NoSpacing"/>
        <w:ind w:left="720" w:hanging="720"/>
        <w:rPr>
          <w:noProof/>
        </w:rPr>
      </w:pPr>
      <w:r w:rsidRPr="003A0357">
        <w:rPr>
          <w:noProof/>
        </w:rPr>
        <w:t>11.</w:t>
      </w:r>
      <w:r w:rsidRPr="003A0357">
        <w:rPr>
          <w:noProof/>
        </w:rPr>
        <w:tab/>
        <w:t xml:space="preserve">Farwell, K.D., et al., </w:t>
      </w:r>
      <w:r w:rsidRPr="003A0357">
        <w:rPr>
          <w:i/>
          <w:noProof/>
        </w:rPr>
        <w:t>Enhanced utility of family-centered diagnostic exome sequencing with inheritance model-based analysis: results from 500 unselected families with undiagnosed genetic conditions.</w:t>
      </w:r>
      <w:r w:rsidRPr="003A0357">
        <w:rPr>
          <w:noProof/>
        </w:rPr>
        <w:t xml:space="preserve"> Genet Med, 2015. </w:t>
      </w:r>
      <w:r w:rsidRPr="003A0357">
        <w:rPr>
          <w:b/>
          <w:noProof/>
        </w:rPr>
        <w:t>17</w:t>
      </w:r>
      <w:r w:rsidRPr="003A0357">
        <w:rPr>
          <w:noProof/>
        </w:rPr>
        <w:t>(7): p. 578-86.</w:t>
      </w:r>
    </w:p>
    <w:p w14:paraId="7BAD247C" w14:textId="77777777" w:rsidR="003A0357" w:rsidRPr="003A0357" w:rsidRDefault="003A0357" w:rsidP="000D7BCE">
      <w:pPr>
        <w:pStyle w:val="NoSpacing"/>
        <w:ind w:left="720" w:hanging="720"/>
        <w:rPr>
          <w:noProof/>
        </w:rPr>
      </w:pPr>
      <w:r w:rsidRPr="003A0357">
        <w:rPr>
          <w:noProof/>
        </w:rPr>
        <w:t>12.</w:t>
      </w:r>
      <w:r w:rsidRPr="003A0357">
        <w:rPr>
          <w:noProof/>
        </w:rPr>
        <w:tab/>
        <w:t xml:space="preserve">Lee, H., et al., </w:t>
      </w:r>
      <w:r w:rsidRPr="003A0357">
        <w:rPr>
          <w:i/>
          <w:noProof/>
        </w:rPr>
        <w:t>Clinical exome sequencing for genetic identification of rare Mendelian disorders.</w:t>
      </w:r>
      <w:r w:rsidRPr="003A0357">
        <w:rPr>
          <w:noProof/>
        </w:rPr>
        <w:t xml:space="preserve"> Jama, 2014. </w:t>
      </w:r>
      <w:r w:rsidRPr="003A0357">
        <w:rPr>
          <w:b/>
          <w:noProof/>
        </w:rPr>
        <w:t>312</w:t>
      </w:r>
      <w:r w:rsidRPr="003A0357">
        <w:rPr>
          <w:noProof/>
        </w:rPr>
        <w:t>(18): p. 1880-7.</w:t>
      </w:r>
    </w:p>
    <w:p w14:paraId="50A46DD2" w14:textId="77777777" w:rsidR="003A0357" w:rsidRPr="003A0357" w:rsidRDefault="003A0357" w:rsidP="000D7BCE">
      <w:pPr>
        <w:pStyle w:val="NoSpacing"/>
        <w:ind w:left="720" w:hanging="720"/>
        <w:rPr>
          <w:noProof/>
        </w:rPr>
      </w:pPr>
      <w:r w:rsidRPr="003A0357">
        <w:rPr>
          <w:noProof/>
        </w:rPr>
        <w:t>13.</w:t>
      </w:r>
      <w:r w:rsidRPr="003A0357">
        <w:rPr>
          <w:noProof/>
        </w:rPr>
        <w:tab/>
        <w:t xml:space="preserve">Retterer, K., et al., </w:t>
      </w:r>
      <w:r w:rsidRPr="003A0357">
        <w:rPr>
          <w:i/>
          <w:noProof/>
        </w:rPr>
        <w:t>Clinical application of whole-exome sequencing across clinical indications.</w:t>
      </w:r>
      <w:r w:rsidRPr="003A0357">
        <w:rPr>
          <w:noProof/>
        </w:rPr>
        <w:t xml:space="preserve"> Genet Med, 2016. </w:t>
      </w:r>
      <w:r w:rsidRPr="003A0357">
        <w:rPr>
          <w:b/>
          <w:noProof/>
        </w:rPr>
        <w:t>18</w:t>
      </w:r>
      <w:r w:rsidRPr="003A0357">
        <w:rPr>
          <w:noProof/>
        </w:rPr>
        <w:t>(7): p. 696-704.</w:t>
      </w:r>
    </w:p>
    <w:p w14:paraId="6BAB820B" w14:textId="77777777" w:rsidR="003A0357" w:rsidRPr="003A0357" w:rsidRDefault="003A0357" w:rsidP="000D7BCE">
      <w:pPr>
        <w:pStyle w:val="NoSpacing"/>
        <w:ind w:left="720" w:hanging="720"/>
        <w:rPr>
          <w:noProof/>
        </w:rPr>
      </w:pPr>
      <w:r w:rsidRPr="003A0357">
        <w:rPr>
          <w:noProof/>
        </w:rPr>
        <w:t>14.</w:t>
      </w:r>
      <w:r w:rsidRPr="003A0357">
        <w:rPr>
          <w:noProof/>
        </w:rPr>
        <w:tab/>
        <w:t xml:space="preserve">Sawyer, S.L., et al., </w:t>
      </w:r>
      <w:r w:rsidRPr="003A0357">
        <w:rPr>
          <w:i/>
          <w:noProof/>
        </w:rPr>
        <w:t>Utility of whole-exome sequencing for those near the end of the diagnostic odyssey: time to address gaps in care.</w:t>
      </w:r>
      <w:r w:rsidRPr="003A0357">
        <w:rPr>
          <w:noProof/>
        </w:rPr>
        <w:t xml:space="preserve"> Clin Genet, 2016. </w:t>
      </w:r>
      <w:r w:rsidRPr="003A0357">
        <w:rPr>
          <w:b/>
          <w:noProof/>
        </w:rPr>
        <w:t>89</w:t>
      </w:r>
      <w:r w:rsidRPr="003A0357">
        <w:rPr>
          <w:noProof/>
        </w:rPr>
        <w:t>(3): p. 275-84.</w:t>
      </w:r>
    </w:p>
    <w:p w14:paraId="428E379F" w14:textId="77777777" w:rsidR="003A0357" w:rsidRPr="003A0357" w:rsidRDefault="003A0357" w:rsidP="000D7BCE">
      <w:pPr>
        <w:pStyle w:val="NoSpacing"/>
        <w:ind w:left="720" w:hanging="720"/>
        <w:rPr>
          <w:noProof/>
        </w:rPr>
      </w:pPr>
      <w:r w:rsidRPr="003A0357">
        <w:rPr>
          <w:noProof/>
        </w:rPr>
        <w:t>15.</w:t>
      </w:r>
      <w:r w:rsidRPr="003A0357">
        <w:rPr>
          <w:noProof/>
        </w:rPr>
        <w:tab/>
        <w:t xml:space="preserve">Rehm, H.L., et al., </w:t>
      </w:r>
      <w:r w:rsidRPr="003A0357">
        <w:rPr>
          <w:i/>
          <w:noProof/>
        </w:rPr>
        <w:t>The landscape of reported VUS in multi-gene panel and genomic testing: Time for a change.</w:t>
      </w:r>
      <w:r w:rsidRPr="003A0357">
        <w:rPr>
          <w:noProof/>
        </w:rPr>
        <w:t xml:space="preserve"> Genet Med, 2023: p. 100947.</w:t>
      </w:r>
    </w:p>
    <w:p w14:paraId="63D4D85B" w14:textId="1DA5568D" w:rsidR="00C247D1" w:rsidRPr="00171176" w:rsidRDefault="00C247D1" w:rsidP="000D7BCE">
      <w:pPr>
        <w:pStyle w:val="NoSpacing"/>
      </w:pPr>
    </w:p>
    <w:sectPr w:rsidR="00C247D1" w:rsidRPr="00171176" w:rsidSect="00237EA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A79A9"/>
    <w:multiLevelType w:val="hybridMultilevel"/>
    <w:tmpl w:val="251C19B4"/>
    <w:lvl w:ilvl="0" w:tplc="2E16868C">
      <w:start w:val="1"/>
      <w:numFmt w:val="decimal"/>
      <w:lvlText w:val="%1."/>
      <w:lvlJc w:val="left"/>
      <w:pPr>
        <w:ind w:left="720" w:hanging="360"/>
      </w:pPr>
      <w:rPr>
        <w:rFonts w:ascii="Garamond" w:hAnsi="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36B55"/>
    <w:multiLevelType w:val="hybridMultilevel"/>
    <w:tmpl w:val="D2E08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927BFC"/>
    <w:multiLevelType w:val="hybridMultilevel"/>
    <w:tmpl w:val="6E9E1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F8269C"/>
    <w:multiLevelType w:val="hybridMultilevel"/>
    <w:tmpl w:val="F218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D04C71"/>
    <w:multiLevelType w:val="hybridMultilevel"/>
    <w:tmpl w:val="9CA4D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094533"/>
    <w:multiLevelType w:val="hybridMultilevel"/>
    <w:tmpl w:val="AFB428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4FEF3C70"/>
    <w:multiLevelType w:val="hybridMultilevel"/>
    <w:tmpl w:val="B90ED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12427B"/>
    <w:multiLevelType w:val="hybridMultilevel"/>
    <w:tmpl w:val="71BA6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A1373E"/>
    <w:multiLevelType w:val="hybridMultilevel"/>
    <w:tmpl w:val="27963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A07767"/>
    <w:multiLevelType w:val="hybridMultilevel"/>
    <w:tmpl w:val="0AD84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2225814">
    <w:abstractNumId w:val="6"/>
  </w:num>
  <w:num w:numId="2" w16cid:durableId="820849708">
    <w:abstractNumId w:val="1"/>
  </w:num>
  <w:num w:numId="3" w16cid:durableId="1469784336">
    <w:abstractNumId w:val="7"/>
  </w:num>
  <w:num w:numId="4" w16cid:durableId="1540362374">
    <w:abstractNumId w:val="5"/>
  </w:num>
  <w:num w:numId="5" w16cid:durableId="1366097943">
    <w:abstractNumId w:val="3"/>
  </w:num>
  <w:num w:numId="6" w16cid:durableId="238102832">
    <w:abstractNumId w:val="9"/>
  </w:num>
  <w:num w:numId="7" w16cid:durableId="608971623">
    <w:abstractNumId w:val="2"/>
  </w:num>
  <w:num w:numId="8" w16cid:durableId="1512332715">
    <w:abstractNumId w:val="0"/>
  </w:num>
  <w:num w:numId="9" w16cid:durableId="590505270">
    <w:abstractNumId w:val="8"/>
  </w:num>
  <w:num w:numId="10" w16cid:durableId="3335300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activeWritingStyle w:appName="MSWord" w:lang="es-US" w:vendorID="64" w:dllVersion="6" w:nlCheck="1" w:checkStyle="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zfzrepwwrwftle0svnpftx3xr2sazvvdtw9&quot;&gt;WES library&lt;record-ids&gt;&lt;item&gt;1&lt;/item&gt;&lt;item&gt;3&lt;/item&gt;&lt;item&gt;5&lt;/item&gt;&lt;item&gt;6&lt;/item&gt;&lt;item&gt;12&lt;/item&gt;&lt;item&gt;13&lt;/item&gt;&lt;item&gt;17&lt;/item&gt;&lt;item&gt;55&lt;/item&gt;&lt;item&gt;56&lt;/item&gt;&lt;item&gt;57&lt;/item&gt;&lt;item&gt;59&lt;/item&gt;&lt;item&gt;71&lt;/item&gt;&lt;item&gt;75&lt;/item&gt;&lt;item&gt;76&lt;/item&gt;&lt;item&gt;164&lt;/item&gt;&lt;/record-ids&gt;&lt;/item&gt;&lt;/Libraries&gt;"/>
  </w:docVars>
  <w:rsids>
    <w:rsidRoot w:val="003D0EA6"/>
    <w:rsid w:val="00004370"/>
    <w:rsid w:val="00022DC7"/>
    <w:rsid w:val="00034E18"/>
    <w:rsid w:val="000938C7"/>
    <w:rsid w:val="000957FD"/>
    <w:rsid w:val="000A0E42"/>
    <w:rsid w:val="000B1B78"/>
    <w:rsid w:val="000B50A3"/>
    <w:rsid w:val="000B53DC"/>
    <w:rsid w:val="000C2659"/>
    <w:rsid w:val="000C2E4E"/>
    <w:rsid w:val="000D05E6"/>
    <w:rsid w:val="000D5771"/>
    <w:rsid w:val="000D7BCE"/>
    <w:rsid w:val="000E13FB"/>
    <w:rsid w:val="0010196B"/>
    <w:rsid w:val="001109B6"/>
    <w:rsid w:val="00121A26"/>
    <w:rsid w:val="00132909"/>
    <w:rsid w:val="00142BD8"/>
    <w:rsid w:val="00150F55"/>
    <w:rsid w:val="00161D0B"/>
    <w:rsid w:val="00171176"/>
    <w:rsid w:val="00177CB7"/>
    <w:rsid w:val="00181D85"/>
    <w:rsid w:val="00182AC9"/>
    <w:rsid w:val="001D40CC"/>
    <w:rsid w:val="001F2435"/>
    <w:rsid w:val="001F49F2"/>
    <w:rsid w:val="00205DB4"/>
    <w:rsid w:val="00211015"/>
    <w:rsid w:val="00213994"/>
    <w:rsid w:val="002379A4"/>
    <w:rsid w:val="00237EA6"/>
    <w:rsid w:val="002414B7"/>
    <w:rsid w:val="00253146"/>
    <w:rsid w:val="002A7478"/>
    <w:rsid w:val="002D0B92"/>
    <w:rsid w:val="00301F9D"/>
    <w:rsid w:val="00302920"/>
    <w:rsid w:val="00306446"/>
    <w:rsid w:val="00315CAD"/>
    <w:rsid w:val="00331BD8"/>
    <w:rsid w:val="0034028B"/>
    <w:rsid w:val="00342070"/>
    <w:rsid w:val="00342E84"/>
    <w:rsid w:val="003640C1"/>
    <w:rsid w:val="003753BC"/>
    <w:rsid w:val="00375EA3"/>
    <w:rsid w:val="00391B28"/>
    <w:rsid w:val="003935F5"/>
    <w:rsid w:val="003A0357"/>
    <w:rsid w:val="003A2208"/>
    <w:rsid w:val="003A7688"/>
    <w:rsid w:val="003D0EA6"/>
    <w:rsid w:val="003E2CA8"/>
    <w:rsid w:val="003E34DA"/>
    <w:rsid w:val="003E3BBC"/>
    <w:rsid w:val="00410B05"/>
    <w:rsid w:val="00413262"/>
    <w:rsid w:val="0041601D"/>
    <w:rsid w:val="00433DFB"/>
    <w:rsid w:val="00452FD4"/>
    <w:rsid w:val="00465837"/>
    <w:rsid w:val="00486EFD"/>
    <w:rsid w:val="00497491"/>
    <w:rsid w:val="004B25E3"/>
    <w:rsid w:val="004C2C7D"/>
    <w:rsid w:val="004D16CE"/>
    <w:rsid w:val="004D1B64"/>
    <w:rsid w:val="004D1B99"/>
    <w:rsid w:val="004F37A9"/>
    <w:rsid w:val="004F4CF7"/>
    <w:rsid w:val="004F6E8A"/>
    <w:rsid w:val="00533706"/>
    <w:rsid w:val="00535623"/>
    <w:rsid w:val="00543EEA"/>
    <w:rsid w:val="00555700"/>
    <w:rsid w:val="005B76FB"/>
    <w:rsid w:val="00603DF4"/>
    <w:rsid w:val="00612083"/>
    <w:rsid w:val="00620667"/>
    <w:rsid w:val="006337EC"/>
    <w:rsid w:val="0064562A"/>
    <w:rsid w:val="00652804"/>
    <w:rsid w:val="00653661"/>
    <w:rsid w:val="00662BD0"/>
    <w:rsid w:val="006658A7"/>
    <w:rsid w:val="00666486"/>
    <w:rsid w:val="00685693"/>
    <w:rsid w:val="00695515"/>
    <w:rsid w:val="006A0A4F"/>
    <w:rsid w:val="006A2BC9"/>
    <w:rsid w:val="006A3481"/>
    <w:rsid w:val="006B4192"/>
    <w:rsid w:val="006C1D38"/>
    <w:rsid w:val="006D6DFD"/>
    <w:rsid w:val="006E0B7B"/>
    <w:rsid w:val="006F757F"/>
    <w:rsid w:val="0071094C"/>
    <w:rsid w:val="0071306C"/>
    <w:rsid w:val="0071491F"/>
    <w:rsid w:val="00726C82"/>
    <w:rsid w:val="0073022E"/>
    <w:rsid w:val="007457C5"/>
    <w:rsid w:val="007575C0"/>
    <w:rsid w:val="00757854"/>
    <w:rsid w:val="00771ED8"/>
    <w:rsid w:val="00776731"/>
    <w:rsid w:val="007B77BD"/>
    <w:rsid w:val="00800336"/>
    <w:rsid w:val="00814AB8"/>
    <w:rsid w:val="00821487"/>
    <w:rsid w:val="00824B7C"/>
    <w:rsid w:val="00855940"/>
    <w:rsid w:val="008569AB"/>
    <w:rsid w:val="00856E8A"/>
    <w:rsid w:val="008606B4"/>
    <w:rsid w:val="00861434"/>
    <w:rsid w:val="008706C4"/>
    <w:rsid w:val="00873083"/>
    <w:rsid w:val="00886430"/>
    <w:rsid w:val="00887B41"/>
    <w:rsid w:val="0089553B"/>
    <w:rsid w:val="008E7C39"/>
    <w:rsid w:val="00900219"/>
    <w:rsid w:val="00921AF4"/>
    <w:rsid w:val="009427D5"/>
    <w:rsid w:val="00965396"/>
    <w:rsid w:val="0097325F"/>
    <w:rsid w:val="009970DA"/>
    <w:rsid w:val="009A14DC"/>
    <w:rsid w:val="009A2A33"/>
    <w:rsid w:val="009A32BA"/>
    <w:rsid w:val="009B5940"/>
    <w:rsid w:val="009D0A63"/>
    <w:rsid w:val="009D6A11"/>
    <w:rsid w:val="009E6ACE"/>
    <w:rsid w:val="009F4A7E"/>
    <w:rsid w:val="00A0794C"/>
    <w:rsid w:val="00A250EC"/>
    <w:rsid w:val="00A97C90"/>
    <w:rsid w:val="00AA3F14"/>
    <w:rsid w:val="00AB2F4A"/>
    <w:rsid w:val="00AC73E1"/>
    <w:rsid w:val="00AF6B1B"/>
    <w:rsid w:val="00B15630"/>
    <w:rsid w:val="00B27690"/>
    <w:rsid w:val="00B374A4"/>
    <w:rsid w:val="00B41E36"/>
    <w:rsid w:val="00B42759"/>
    <w:rsid w:val="00B62141"/>
    <w:rsid w:val="00B64D5B"/>
    <w:rsid w:val="00B82599"/>
    <w:rsid w:val="00B92AA4"/>
    <w:rsid w:val="00BA17B5"/>
    <w:rsid w:val="00BA2711"/>
    <w:rsid w:val="00BD07BD"/>
    <w:rsid w:val="00BE244D"/>
    <w:rsid w:val="00BF3D99"/>
    <w:rsid w:val="00C247D1"/>
    <w:rsid w:val="00C45F72"/>
    <w:rsid w:val="00C5728B"/>
    <w:rsid w:val="00C72A47"/>
    <w:rsid w:val="00C770A9"/>
    <w:rsid w:val="00CA68EE"/>
    <w:rsid w:val="00CC1D5D"/>
    <w:rsid w:val="00CE4B15"/>
    <w:rsid w:val="00D17422"/>
    <w:rsid w:val="00D334BC"/>
    <w:rsid w:val="00D344FE"/>
    <w:rsid w:val="00D34F50"/>
    <w:rsid w:val="00D40F2C"/>
    <w:rsid w:val="00D43F18"/>
    <w:rsid w:val="00D65921"/>
    <w:rsid w:val="00D66DD8"/>
    <w:rsid w:val="00D834AE"/>
    <w:rsid w:val="00DB690F"/>
    <w:rsid w:val="00DE4385"/>
    <w:rsid w:val="00DE6040"/>
    <w:rsid w:val="00DF00F9"/>
    <w:rsid w:val="00E00924"/>
    <w:rsid w:val="00E00FF8"/>
    <w:rsid w:val="00E04C9D"/>
    <w:rsid w:val="00E2243A"/>
    <w:rsid w:val="00E376B5"/>
    <w:rsid w:val="00E412BA"/>
    <w:rsid w:val="00E9262E"/>
    <w:rsid w:val="00EC3566"/>
    <w:rsid w:val="00EC78D7"/>
    <w:rsid w:val="00ED14F6"/>
    <w:rsid w:val="00ED4ADE"/>
    <w:rsid w:val="00EE32E3"/>
    <w:rsid w:val="00EE6E39"/>
    <w:rsid w:val="00EF67B6"/>
    <w:rsid w:val="00F144C3"/>
    <w:rsid w:val="00F1522E"/>
    <w:rsid w:val="00F1597A"/>
    <w:rsid w:val="00F161D5"/>
    <w:rsid w:val="00F339A7"/>
    <w:rsid w:val="00F42966"/>
    <w:rsid w:val="00F50473"/>
    <w:rsid w:val="00F53DD7"/>
    <w:rsid w:val="00F57C44"/>
    <w:rsid w:val="00F67763"/>
    <w:rsid w:val="00F74480"/>
    <w:rsid w:val="00F779F8"/>
    <w:rsid w:val="00F9401A"/>
    <w:rsid w:val="00F95702"/>
    <w:rsid w:val="00FB3BE6"/>
    <w:rsid w:val="00FB611B"/>
    <w:rsid w:val="00FC7ABD"/>
    <w:rsid w:val="00FD2387"/>
    <w:rsid w:val="00FF7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DDC5F"/>
  <w15:chartTrackingRefBased/>
  <w15:docId w15:val="{B9B095E7-3817-4318-B43D-24CE7CCF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D0EA6"/>
    <w:pPr>
      <w:spacing w:after="0" w:line="240" w:lineRule="auto"/>
    </w:pPr>
  </w:style>
  <w:style w:type="paragraph" w:styleId="ListParagraph">
    <w:name w:val="List Paragraph"/>
    <w:basedOn w:val="Normal"/>
    <w:uiPriority w:val="34"/>
    <w:qFormat/>
    <w:rsid w:val="00653661"/>
    <w:pPr>
      <w:ind w:left="720"/>
      <w:contextualSpacing/>
    </w:pPr>
  </w:style>
  <w:style w:type="paragraph" w:styleId="BalloonText">
    <w:name w:val="Balloon Text"/>
    <w:basedOn w:val="Normal"/>
    <w:link w:val="BalloonTextChar"/>
    <w:uiPriority w:val="99"/>
    <w:semiHidden/>
    <w:unhideWhenUsed/>
    <w:rsid w:val="002A74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478"/>
    <w:rPr>
      <w:rFonts w:ascii="Segoe UI" w:hAnsi="Segoe UI" w:cs="Segoe UI"/>
      <w:sz w:val="18"/>
      <w:szCs w:val="18"/>
    </w:rPr>
  </w:style>
  <w:style w:type="character" w:styleId="CommentReference">
    <w:name w:val="annotation reference"/>
    <w:basedOn w:val="DefaultParagraphFont"/>
    <w:uiPriority w:val="99"/>
    <w:semiHidden/>
    <w:unhideWhenUsed/>
    <w:rsid w:val="000B50A3"/>
    <w:rPr>
      <w:sz w:val="16"/>
      <w:szCs w:val="16"/>
    </w:rPr>
  </w:style>
  <w:style w:type="paragraph" w:styleId="CommentText">
    <w:name w:val="annotation text"/>
    <w:basedOn w:val="Normal"/>
    <w:link w:val="CommentTextChar"/>
    <w:uiPriority w:val="99"/>
    <w:semiHidden/>
    <w:unhideWhenUsed/>
    <w:rsid w:val="000B50A3"/>
    <w:pPr>
      <w:spacing w:line="240" w:lineRule="auto"/>
    </w:pPr>
    <w:rPr>
      <w:sz w:val="20"/>
      <w:szCs w:val="20"/>
    </w:rPr>
  </w:style>
  <w:style w:type="character" w:customStyle="1" w:styleId="CommentTextChar">
    <w:name w:val="Comment Text Char"/>
    <w:basedOn w:val="DefaultParagraphFont"/>
    <w:link w:val="CommentText"/>
    <w:uiPriority w:val="99"/>
    <w:semiHidden/>
    <w:rsid w:val="000B50A3"/>
    <w:rPr>
      <w:sz w:val="20"/>
      <w:szCs w:val="20"/>
    </w:rPr>
  </w:style>
  <w:style w:type="paragraph" w:styleId="CommentSubject">
    <w:name w:val="annotation subject"/>
    <w:basedOn w:val="CommentText"/>
    <w:next w:val="CommentText"/>
    <w:link w:val="CommentSubjectChar"/>
    <w:uiPriority w:val="99"/>
    <w:semiHidden/>
    <w:unhideWhenUsed/>
    <w:rsid w:val="000B50A3"/>
    <w:rPr>
      <w:b/>
      <w:bCs/>
    </w:rPr>
  </w:style>
  <w:style w:type="character" w:customStyle="1" w:styleId="CommentSubjectChar">
    <w:name w:val="Comment Subject Char"/>
    <w:basedOn w:val="CommentTextChar"/>
    <w:link w:val="CommentSubject"/>
    <w:uiPriority w:val="99"/>
    <w:semiHidden/>
    <w:rsid w:val="000B50A3"/>
    <w:rPr>
      <w:b/>
      <w:bCs/>
      <w:sz w:val="20"/>
      <w:szCs w:val="20"/>
    </w:rPr>
  </w:style>
  <w:style w:type="paragraph" w:styleId="Revision">
    <w:name w:val="Revision"/>
    <w:hidden/>
    <w:uiPriority w:val="99"/>
    <w:semiHidden/>
    <w:rsid w:val="00D66DD8"/>
    <w:pPr>
      <w:spacing w:after="0" w:line="240" w:lineRule="auto"/>
    </w:pPr>
  </w:style>
  <w:style w:type="paragraph" w:customStyle="1" w:styleId="EndNoteBibliographyTitle">
    <w:name w:val="EndNote Bibliography Title"/>
    <w:basedOn w:val="Normal"/>
    <w:link w:val="EndNoteBibliographyTitleChar"/>
    <w:rsid w:val="00771ED8"/>
    <w:pPr>
      <w:spacing w:after="0"/>
      <w:jc w:val="center"/>
    </w:pPr>
    <w:rPr>
      <w:rFonts w:ascii="Calibri" w:hAnsi="Calibri" w:cs="Calibri"/>
    </w:rPr>
  </w:style>
  <w:style w:type="character" w:customStyle="1" w:styleId="NoSpacingChar">
    <w:name w:val="No Spacing Char"/>
    <w:basedOn w:val="DefaultParagraphFont"/>
    <w:link w:val="NoSpacing"/>
    <w:uiPriority w:val="1"/>
    <w:rsid w:val="00771ED8"/>
  </w:style>
  <w:style w:type="character" w:customStyle="1" w:styleId="EndNoteBibliographyTitleChar">
    <w:name w:val="EndNote Bibliography Title Char"/>
    <w:basedOn w:val="NoSpacingChar"/>
    <w:link w:val="EndNoteBibliographyTitle"/>
    <w:rsid w:val="00771ED8"/>
    <w:rPr>
      <w:rFonts w:ascii="Calibri" w:hAnsi="Calibri" w:cs="Calibri"/>
    </w:rPr>
  </w:style>
  <w:style w:type="paragraph" w:customStyle="1" w:styleId="EndNoteBibliography">
    <w:name w:val="EndNote Bibliography"/>
    <w:basedOn w:val="Normal"/>
    <w:link w:val="EndNoteBibliographyChar"/>
    <w:rsid w:val="00771ED8"/>
    <w:pPr>
      <w:spacing w:line="240" w:lineRule="auto"/>
    </w:pPr>
    <w:rPr>
      <w:rFonts w:ascii="Calibri" w:hAnsi="Calibri" w:cs="Calibri"/>
    </w:rPr>
  </w:style>
  <w:style w:type="character" w:customStyle="1" w:styleId="EndNoteBibliographyChar">
    <w:name w:val="EndNote Bibliography Char"/>
    <w:basedOn w:val="NoSpacingChar"/>
    <w:link w:val="EndNoteBibliography"/>
    <w:rsid w:val="00771ED8"/>
    <w:rPr>
      <w:rFonts w:ascii="Calibri" w:hAnsi="Calibri" w:cs="Calibri"/>
    </w:rPr>
  </w:style>
  <w:style w:type="character" w:styleId="Hyperlink">
    <w:name w:val="Hyperlink"/>
    <w:basedOn w:val="DefaultParagraphFont"/>
    <w:uiPriority w:val="99"/>
    <w:unhideWhenUsed/>
    <w:rsid w:val="003402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447709">
      <w:bodyDiv w:val="1"/>
      <w:marLeft w:val="0"/>
      <w:marRight w:val="0"/>
      <w:marTop w:val="0"/>
      <w:marBottom w:val="0"/>
      <w:divBdr>
        <w:top w:val="none" w:sz="0" w:space="0" w:color="auto"/>
        <w:left w:val="none" w:sz="0" w:space="0" w:color="auto"/>
        <w:bottom w:val="none" w:sz="0" w:space="0" w:color="auto"/>
        <w:right w:val="none" w:sz="0" w:space="0" w:color="auto"/>
      </w:divBdr>
    </w:div>
    <w:div w:id="702248718">
      <w:bodyDiv w:val="1"/>
      <w:marLeft w:val="0"/>
      <w:marRight w:val="0"/>
      <w:marTop w:val="0"/>
      <w:marBottom w:val="0"/>
      <w:divBdr>
        <w:top w:val="none" w:sz="0" w:space="0" w:color="auto"/>
        <w:left w:val="none" w:sz="0" w:space="0" w:color="auto"/>
        <w:bottom w:val="none" w:sz="0" w:space="0" w:color="auto"/>
        <w:right w:val="none" w:sz="0" w:space="0" w:color="auto"/>
      </w:divBdr>
    </w:div>
    <w:div w:id="1187598186">
      <w:bodyDiv w:val="1"/>
      <w:marLeft w:val="0"/>
      <w:marRight w:val="0"/>
      <w:marTop w:val="0"/>
      <w:marBottom w:val="0"/>
      <w:divBdr>
        <w:top w:val="none" w:sz="0" w:space="0" w:color="auto"/>
        <w:left w:val="none" w:sz="0" w:space="0" w:color="auto"/>
        <w:bottom w:val="none" w:sz="0" w:space="0" w:color="auto"/>
        <w:right w:val="none" w:sz="0" w:space="0" w:color="auto"/>
      </w:divBdr>
      <w:divsChild>
        <w:div w:id="1366099847">
          <w:marLeft w:val="0"/>
          <w:marRight w:val="0"/>
          <w:marTop w:val="0"/>
          <w:marBottom w:val="0"/>
          <w:divBdr>
            <w:top w:val="none" w:sz="0" w:space="0" w:color="auto"/>
            <w:left w:val="none" w:sz="0" w:space="0" w:color="auto"/>
            <w:bottom w:val="none" w:sz="0" w:space="0" w:color="auto"/>
            <w:right w:val="none" w:sz="0" w:space="0" w:color="auto"/>
          </w:divBdr>
        </w:div>
      </w:divsChild>
    </w:div>
    <w:div w:id="1217931051">
      <w:bodyDiv w:val="1"/>
      <w:marLeft w:val="0"/>
      <w:marRight w:val="0"/>
      <w:marTop w:val="0"/>
      <w:marBottom w:val="0"/>
      <w:divBdr>
        <w:top w:val="none" w:sz="0" w:space="0" w:color="auto"/>
        <w:left w:val="none" w:sz="0" w:space="0" w:color="auto"/>
        <w:bottom w:val="none" w:sz="0" w:space="0" w:color="auto"/>
        <w:right w:val="none" w:sz="0" w:space="0" w:color="auto"/>
      </w:divBdr>
    </w:div>
    <w:div w:id="1462067154">
      <w:bodyDiv w:val="1"/>
      <w:marLeft w:val="0"/>
      <w:marRight w:val="0"/>
      <w:marTop w:val="0"/>
      <w:marBottom w:val="0"/>
      <w:divBdr>
        <w:top w:val="none" w:sz="0" w:space="0" w:color="auto"/>
        <w:left w:val="none" w:sz="0" w:space="0" w:color="auto"/>
        <w:bottom w:val="none" w:sz="0" w:space="0" w:color="auto"/>
        <w:right w:val="none" w:sz="0" w:space="0" w:color="auto"/>
      </w:divBdr>
    </w:div>
    <w:div w:id="150439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9EDAC5F0BB43449650A14753C331C5" ma:contentTypeVersion="13" ma:contentTypeDescription="Create a new document." ma:contentTypeScope="" ma:versionID="500cd6fcc8a55871dfb2146abd027da2">
  <xsd:schema xmlns:xsd="http://www.w3.org/2001/XMLSchema" xmlns:xs="http://www.w3.org/2001/XMLSchema" xmlns:p="http://schemas.microsoft.com/office/2006/metadata/properties" xmlns:ns2="37987771-6e49-48c2-9190-090086b17895" xmlns:ns3="363f8f1f-aef1-4ca2-9f24-519bdcc99cb2" targetNamespace="http://schemas.microsoft.com/office/2006/metadata/properties" ma:root="true" ma:fieldsID="9a4c541cca3edb280b8318d5aa8656b7" ns2:_="" ns3:_="">
    <xsd:import namespace="37987771-6e49-48c2-9190-090086b17895"/>
    <xsd:import namespace="363f8f1f-aef1-4ca2-9f24-519bdcc99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87771-6e49-48c2-9190-090086b178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b4629f9-57ee-4f59-a68d-237847009146}" ma:internalName="TaxCatchAll" ma:showField="CatchAllData" ma:web="37987771-6e49-48c2-9190-090086b178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3f8f1f-aef1-4ca2-9f24-519bdcc99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160ba2a-d0b9-48c3-a483-476cbff7f94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7987771-6e49-48c2-9190-090086b17895" xsi:nil="true"/>
    <lcf76f155ced4ddcb4097134ff3c332f xmlns="363f8f1f-aef1-4ca2-9f24-519bdcc99cb2">
      <Terms xmlns="http://schemas.microsoft.com/office/infopath/2007/PartnerControls"/>
    </lcf76f155ced4ddcb4097134ff3c332f>
    <SharedWithUsers xmlns="37987771-6e49-48c2-9190-090086b17895">
      <UserInfo>
        <DisplayName>Patty Cuevas</DisplayName>
        <AccountId>592</AccountId>
        <AccountType/>
      </UserInfo>
    </SharedWithUsers>
  </documentManagement>
</p:properties>
</file>

<file path=customXml/itemProps1.xml><?xml version="1.0" encoding="utf-8"?>
<ds:datastoreItem xmlns:ds="http://schemas.openxmlformats.org/officeDocument/2006/customXml" ds:itemID="{D0B142BB-D968-41F0-99A0-B2DADB449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87771-6e49-48c2-9190-090086b17895"/>
    <ds:schemaRef ds:uri="363f8f1f-aef1-4ca2-9f24-519bdcc99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81CF52-C568-44A5-B772-98E5AFEAC858}">
  <ds:schemaRefs>
    <ds:schemaRef ds:uri="http://schemas.microsoft.com/sharepoint/v3/contenttype/forms"/>
  </ds:schemaRefs>
</ds:datastoreItem>
</file>

<file path=customXml/itemProps3.xml><?xml version="1.0" encoding="utf-8"?>
<ds:datastoreItem xmlns:ds="http://schemas.openxmlformats.org/officeDocument/2006/customXml" ds:itemID="{B27DFDC3-CEFD-4147-9FB8-8E0598810525}">
  <ds:schemaRefs>
    <ds:schemaRef ds:uri="http://schemas.microsoft.com/office/2006/metadata/properties"/>
    <ds:schemaRef ds:uri="http://schemas.microsoft.com/office/infopath/2007/PartnerControls"/>
    <ds:schemaRef ds:uri="37987771-6e49-48c2-9190-090086b17895"/>
    <ds:schemaRef ds:uri="363f8f1f-aef1-4ca2-9f24-519bdcc99cb2"/>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Pages>
  <Words>1556</Words>
  <Characters>8872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BioReference Laboratories Inc.</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Klein</dc:creator>
  <cp:keywords/>
  <dc:description/>
  <cp:lastModifiedBy>Sarah Soto</cp:lastModifiedBy>
  <cp:revision>113</cp:revision>
  <dcterms:created xsi:type="dcterms:W3CDTF">2024-02-09T14:33:00Z</dcterms:created>
  <dcterms:modified xsi:type="dcterms:W3CDTF">2024-05-03T14:13:00Z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0x010100709EDAC5F0BB43449650A14753C331C5</vt:lpwstr>
  </property>
  <property fmtid="{D5CDD505-2E9C-101B-9397-08002B2CF9AE}" pid="3" name="MediaServiceImageTags">
    <vt:lpwstr/>
  </property>
</Properties>
</file>