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5E6" w:rsidRPr="00D1474B" w:rsidRDefault="003D0EA6" w:rsidP="00205DB4">
      <w:pPr>
        <w:pStyle w:val="NoSpacing"/>
        <w:jc w:val="center"/>
        <w:rPr>
          <w:b/>
        </w:rPr>
      </w:pPr>
      <w:bookmarkStart w:id="0" w:name="_GoBack"/>
      <w:bookmarkEnd w:id="0"/>
      <w:r w:rsidRPr="00205DB4">
        <w:rPr>
          <w:b/>
        </w:rPr>
        <w:t>Letter of Medical Necessi</w:t>
      </w:r>
      <w:r w:rsidR="00D1474B">
        <w:rPr>
          <w:b/>
        </w:rPr>
        <w:t xml:space="preserve">ty for </w:t>
      </w:r>
      <w:proofErr w:type="spellStart"/>
      <w:r w:rsidR="00D1474B" w:rsidRPr="00D1474B">
        <w:rPr>
          <w:b/>
        </w:rPr>
        <w:t>Brugada</w:t>
      </w:r>
      <w:proofErr w:type="spellEnd"/>
      <w:r w:rsidR="00D1474B" w:rsidRPr="00D1474B">
        <w:rPr>
          <w:b/>
        </w:rPr>
        <w:t xml:space="preserve"> Syndrome Panel</w:t>
      </w:r>
    </w:p>
    <w:p w:rsidR="00AB2F4A" w:rsidRPr="00AB2F4A" w:rsidRDefault="00AB2F4A" w:rsidP="00AB2F4A">
      <w:pPr>
        <w:pStyle w:val="NoSpacing"/>
        <w:rPr>
          <w:color w:val="FF0000"/>
        </w:rPr>
      </w:pPr>
    </w:p>
    <w:p w:rsidR="00AB2F4A" w:rsidRDefault="00AB2F4A" w:rsidP="00AB2F4A">
      <w:pPr>
        <w:pStyle w:val="NoSpacing"/>
        <w:rPr>
          <w:color w:val="FF0000"/>
        </w:rPr>
      </w:pPr>
    </w:p>
    <w:p w:rsidR="00205DB4" w:rsidRPr="00AB2F4A" w:rsidRDefault="00205DB4" w:rsidP="00AB2F4A">
      <w:pPr>
        <w:pStyle w:val="NoSpacing"/>
        <w:rPr>
          <w:color w:val="FF0000"/>
        </w:rPr>
        <w:sectPr w:rsidR="00205DB4" w:rsidRPr="00AB2F4A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253146" w:rsidRPr="00253146" w:rsidRDefault="00253146" w:rsidP="00AB2F4A">
      <w:pPr>
        <w:pStyle w:val="NoSpacing"/>
        <w:rPr>
          <w:b/>
          <w:u w:val="single"/>
        </w:rPr>
      </w:pPr>
      <w:r w:rsidRPr="00253146">
        <w:rPr>
          <w:b/>
          <w:u w:val="single"/>
        </w:rPr>
        <w:t>Patient Information</w:t>
      </w:r>
    </w:p>
    <w:p w:rsidR="003D0EA6" w:rsidRPr="00253146" w:rsidRDefault="003D0EA6" w:rsidP="00AB2F4A">
      <w:pPr>
        <w:pStyle w:val="NoSpacing"/>
        <w:rPr>
          <w:b/>
          <w:color w:val="FF0000"/>
        </w:rPr>
      </w:pPr>
      <w:r w:rsidRPr="00253146">
        <w:rPr>
          <w:b/>
          <w:color w:val="FF0000"/>
        </w:rPr>
        <w:t>Date:</w:t>
      </w:r>
    </w:p>
    <w:p w:rsidR="003D0EA6" w:rsidRPr="00253146" w:rsidRDefault="003D0EA6" w:rsidP="00AB2F4A">
      <w:pPr>
        <w:pStyle w:val="NoSpacing"/>
        <w:rPr>
          <w:b/>
          <w:color w:val="FF0000"/>
        </w:rPr>
      </w:pPr>
      <w:r w:rsidRPr="00253146">
        <w:rPr>
          <w:b/>
          <w:color w:val="FF0000"/>
        </w:rPr>
        <w:t>Patient Name:</w:t>
      </w:r>
    </w:p>
    <w:p w:rsidR="003D0EA6" w:rsidRPr="00253146" w:rsidRDefault="003D0EA6" w:rsidP="00AB2F4A">
      <w:pPr>
        <w:pStyle w:val="NoSpacing"/>
        <w:rPr>
          <w:b/>
          <w:color w:val="FF0000"/>
        </w:rPr>
      </w:pPr>
      <w:r w:rsidRPr="00253146">
        <w:rPr>
          <w:b/>
          <w:color w:val="FF0000"/>
        </w:rPr>
        <w:t>Patient DOB:</w:t>
      </w:r>
    </w:p>
    <w:p w:rsidR="003D0EA6" w:rsidRPr="00253146" w:rsidRDefault="003D0EA6" w:rsidP="00AB2F4A">
      <w:pPr>
        <w:pStyle w:val="NoSpacing"/>
        <w:rPr>
          <w:b/>
          <w:color w:val="FF0000"/>
        </w:rPr>
      </w:pPr>
      <w:r w:rsidRPr="00253146">
        <w:rPr>
          <w:b/>
          <w:color w:val="FF0000"/>
        </w:rPr>
        <w:t>Insurance Company</w:t>
      </w:r>
      <w:r w:rsidR="00B82599" w:rsidRPr="00253146">
        <w:rPr>
          <w:b/>
          <w:color w:val="FF0000"/>
        </w:rPr>
        <w:t xml:space="preserve"> Name, Address, City, State</w:t>
      </w:r>
      <w:r w:rsidRPr="00253146">
        <w:rPr>
          <w:b/>
          <w:color w:val="FF0000"/>
        </w:rPr>
        <w:t>:</w:t>
      </w:r>
    </w:p>
    <w:p w:rsidR="003D0EA6" w:rsidRPr="00253146" w:rsidRDefault="003D0EA6" w:rsidP="00AB2F4A">
      <w:pPr>
        <w:pStyle w:val="NoSpacing"/>
        <w:rPr>
          <w:b/>
          <w:color w:val="FF0000"/>
        </w:rPr>
      </w:pPr>
      <w:r w:rsidRPr="00253146">
        <w:rPr>
          <w:b/>
          <w:color w:val="FF0000"/>
        </w:rPr>
        <w:t>Policy Number</w:t>
      </w:r>
      <w:r w:rsidR="00253146">
        <w:rPr>
          <w:b/>
          <w:color w:val="FF0000"/>
        </w:rPr>
        <w:t>:</w:t>
      </w:r>
    </w:p>
    <w:p w:rsidR="003D0EA6" w:rsidRPr="00253146" w:rsidRDefault="003D0EA6" w:rsidP="00AB2F4A">
      <w:pPr>
        <w:pStyle w:val="NoSpacing"/>
        <w:rPr>
          <w:b/>
          <w:color w:val="FF0000"/>
        </w:rPr>
      </w:pPr>
      <w:r w:rsidRPr="00253146">
        <w:rPr>
          <w:b/>
          <w:color w:val="FF0000"/>
        </w:rPr>
        <w:t>Group Number</w:t>
      </w:r>
      <w:r w:rsidR="00253146">
        <w:rPr>
          <w:b/>
          <w:color w:val="FF0000"/>
        </w:rPr>
        <w:t>:</w:t>
      </w:r>
    </w:p>
    <w:p w:rsidR="00AB2F4A" w:rsidRPr="00AB2F4A" w:rsidRDefault="00B82599" w:rsidP="00AB2F4A">
      <w:pPr>
        <w:pStyle w:val="NoSpacing"/>
        <w:rPr>
          <w:color w:val="FF0000"/>
        </w:rPr>
      </w:pPr>
      <w:r w:rsidRPr="00253146">
        <w:rPr>
          <w:b/>
          <w:color w:val="FF0000"/>
        </w:rPr>
        <w:t>ICD10 Codes</w:t>
      </w:r>
      <w:r w:rsidR="00253146">
        <w:rPr>
          <w:b/>
          <w:color w:val="FF0000"/>
        </w:rPr>
        <w:t>:</w:t>
      </w:r>
      <w:r w:rsidR="00921AF4" w:rsidRPr="00AB2F4A">
        <w:rPr>
          <w:color w:val="FF0000"/>
        </w:rPr>
        <w:t xml:space="preserve"> </w:t>
      </w:r>
    </w:p>
    <w:p w:rsidR="00205DB4" w:rsidRDefault="00205DB4" w:rsidP="00AB2F4A">
      <w:pPr>
        <w:pStyle w:val="NoSpacing"/>
      </w:pPr>
    </w:p>
    <w:p w:rsidR="00205DB4" w:rsidRDefault="00205DB4" w:rsidP="00AB2F4A">
      <w:pPr>
        <w:pStyle w:val="NoSpacing"/>
      </w:pPr>
    </w:p>
    <w:p w:rsidR="00342070" w:rsidRDefault="00342070" w:rsidP="00AB2F4A">
      <w:pPr>
        <w:pStyle w:val="NoSpacing"/>
      </w:pPr>
    </w:p>
    <w:p w:rsidR="00205DB4" w:rsidRPr="00253146" w:rsidRDefault="00253146" w:rsidP="00AB2F4A">
      <w:pPr>
        <w:pStyle w:val="NoSpacing"/>
        <w:rPr>
          <w:b/>
          <w:u w:val="single"/>
        </w:rPr>
      </w:pPr>
      <w:r w:rsidRPr="00253146">
        <w:rPr>
          <w:b/>
          <w:u w:val="single"/>
        </w:rPr>
        <w:t>Test Information</w:t>
      </w:r>
    </w:p>
    <w:p w:rsidR="002D0B92" w:rsidRPr="00253146" w:rsidRDefault="002D0B92" w:rsidP="00AB2F4A">
      <w:pPr>
        <w:pStyle w:val="NoSpacing"/>
      </w:pPr>
      <w:r w:rsidRPr="00253146">
        <w:rPr>
          <w:b/>
        </w:rPr>
        <w:t>Test Name</w:t>
      </w:r>
      <w:r w:rsidR="00FB3BE6" w:rsidRPr="00253146">
        <w:rPr>
          <w:b/>
        </w:rPr>
        <w:t>:</w:t>
      </w:r>
      <w:r w:rsidR="00D1474B">
        <w:t xml:space="preserve"> </w:t>
      </w:r>
      <w:proofErr w:type="spellStart"/>
      <w:r w:rsidR="00D1474B" w:rsidRPr="006A1F30">
        <w:t>Brugada</w:t>
      </w:r>
      <w:proofErr w:type="spellEnd"/>
      <w:r w:rsidR="00D1474B" w:rsidRPr="006A1F30">
        <w:t xml:space="preserve"> Syndrome Panel</w:t>
      </w:r>
    </w:p>
    <w:p w:rsidR="00F9401A" w:rsidRDefault="002D0B92" w:rsidP="00AB2F4A">
      <w:pPr>
        <w:pStyle w:val="NoSpacing"/>
      </w:pPr>
      <w:r w:rsidRPr="0064562A">
        <w:rPr>
          <w:b/>
        </w:rPr>
        <w:t>CPT Codes</w:t>
      </w:r>
      <w:r w:rsidR="00FB3BE6" w:rsidRPr="0064562A">
        <w:rPr>
          <w:b/>
        </w:rPr>
        <w:t>:</w:t>
      </w:r>
      <w:r w:rsidR="00D1474B">
        <w:rPr>
          <w:b/>
        </w:rPr>
        <w:t xml:space="preserve">  </w:t>
      </w:r>
      <w:r w:rsidR="00D1474B" w:rsidRPr="00D1474B">
        <w:t>81404x1, 81406x1, 81407x1</w:t>
      </w:r>
    </w:p>
    <w:p w:rsidR="008706C4" w:rsidRPr="00253146" w:rsidRDefault="00FB3BE6" w:rsidP="00AB2F4A">
      <w:pPr>
        <w:pStyle w:val="NoSpacing"/>
        <w:rPr>
          <w:b/>
        </w:rPr>
      </w:pPr>
      <w:r w:rsidRPr="00253146">
        <w:rPr>
          <w:b/>
        </w:rPr>
        <w:t xml:space="preserve">Laboratory: </w:t>
      </w:r>
    </w:p>
    <w:p w:rsidR="00253146" w:rsidRDefault="008706C4" w:rsidP="00AB2F4A">
      <w:pPr>
        <w:pStyle w:val="NoSpacing"/>
      </w:pPr>
      <w:r>
        <w:t>GeneDx</w:t>
      </w:r>
      <w:r w:rsidR="00D17422">
        <w:t xml:space="preserve">, Inc. </w:t>
      </w:r>
      <w:r w:rsidR="00205DB4">
        <w:t xml:space="preserve"> </w:t>
      </w:r>
    </w:p>
    <w:p w:rsidR="00205DB4" w:rsidRPr="008706C4" w:rsidRDefault="00FB3BE6" w:rsidP="00AB2F4A">
      <w:pPr>
        <w:pStyle w:val="NoSpacing"/>
      </w:pPr>
      <w:r w:rsidRPr="00AB2F4A">
        <w:t>(NPI#1487632998 / TAXID#205446298 / CLIA#21D0969951)</w:t>
      </w:r>
    </w:p>
    <w:p w:rsidR="00AB2F4A" w:rsidRPr="00205DB4" w:rsidRDefault="00AB2F4A" w:rsidP="00AB2F4A">
      <w:pPr>
        <w:pStyle w:val="NoSpacing"/>
        <w:rPr>
          <w:color w:val="FF0000"/>
        </w:rPr>
      </w:pPr>
      <w:r w:rsidRPr="00AB2F4A">
        <w:t>207 Perry Parkway</w:t>
      </w:r>
    </w:p>
    <w:p w:rsidR="00AB2F4A" w:rsidRPr="00AB2F4A" w:rsidRDefault="00AB2F4A" w:rsidP="00AB2F4A">
      <w:pPr>
        <w:pStyle w:val="NoSpacing"/>
      </w:pPr>
      <w:r w:rsidRPr="00AB2F4A">
        <w:t>Gaithersburg, MD 20877</w:t>
      </w:r>
    </w:p>
    <w:p w:rsidR="00AB2F4A" w:rsidRPr="0064562A" w:rsidRDefault="00AB2F4A" w:rsidP="00AB2F4A">
      <w:pPr>
        <w:pStyle w:val="NoSpacing"/>
      </w:pPr>
      <w:r w:rsidRPr="0064562A">
        <w:t>Telephone:</w:t>
      </w:r>
      <w:r w:rsidR="0064562A" w:rsidRPr="0064562A">
        <w:t xml:space="preserve"> (301) 519-2100</w:t>
      </w:r>
    </w:p>
    <w:p w:rsidR="002D0B92" w:rsidRPr="0064562A" w:rsidRDefault="00AB2F4A" w:rsidP="00AB2F4A">
      <w:pPr>
        <w:pStyle w:val="NoSpacing"/>
      </w:pPr>
      <w:r w:rsidRPr="0064562A">
        <w:t xml:space="preserve">Fax: </w:t>
      </w:r>
      <w:r w:rsidR="0064562A" w:rsidRPr="0064562A">
        <w:t>(201) 421-2010</w:t>
      </w:r>
    </w:p>
    <w:p w:rsidR="00AB2F4A" w:rsidRPr="00AB2F4A" w:rsidRDefault="00AB2F4A" w:rsidP="00AB2F4A">
      <w:pPr>
        <w:pStyle w:val="NoSpacing"/>
        <w:sectPr w:rsidR="00AB2F4A" w:rsidRPr="00AB2F4A" w:rsidSect="00AB2F4A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3D0EA6" w:rsidRPr="00AB2F4A" w:rsidRDefault="003D0EA6" w:rsidP="00AB2F4A">
      <w:pPr>
        <w:pStyle w:val="NoSpacing"/>
      </w:pPr>
    </w:p>
    <w:p w:rsidR="00205DB4" w:rsidRDefault="00205DB4" w:rsidP="00AB2F4A">
      <w:pPr>
        <w:pStyle w:val="NoSpacing"/>
      </w:pPr>
    </w:p>
    <w:p w:rsidR="00F74480" w:rsidRDefault="00F74480" w:rsidP="00AB2F4A">
      <w:pPr>
        <w:pStyle w:val="NoSpacing"/>
      </w:pPr>
      <w:r w:rsidRPr="00AB2F4A">
        <w:t xml:space="preserve">This letter is in regards to my patient, </w:t>
      </w:r>
      <w:r w:rsidR="002D0B92" w:rsidRPr="00AB2F4A">
        <w:rPr>
          <w:color w:val="FF0000"/>
        </w:rPr>
        <w:t>[</w:t>
      </w:r>
      <w:r w:rsidRPr="00AB2F4A">
        <w:rPr>
          <w:color w:val="FF0000"/>
        </w:rPr>
        <w:t>FIRST NAME LAST NAME</w:t>
      </w:r>
      <w:r w:rsidR="002D0B92" w:rsidRPr="00AB2F4A">
        <w:rPr>
          <w:color w:val="FF0000"/>
        </w:rPr>
        <w:t>]</w:t>
      </w:r>
      <w:r w:rsidR="0064562A">
        <w:t>, to re</w:t>
      </w:r>
      <w:r w:rsidR="00D1474B">
        <w:t xml:space="preserve">quest full coverage for the </w:t>
      </w:r>
      <w:proofErr w:type="spellStart"/>
      <w:r w:rsidR="00D1474B" w:rsidRPr="006A1F30">
        <w:t>Brugada</w:t>
      </w:r>
      <w:proofErr w:type="spellEnd"/>
      <w:r w:rsidR="00D1474B" w:rsidRPr="006A1F30">
        <w:t xml:space="preserve"> Syndrome Panel</w:t>
      </w:r>
      <w:r w:rsidR="00D1474B" w:rsidRPr="00AB2F4A">
        <w:t xml:space="preserve"> </w:t>
      </w:r>
      <w:r w:rsidRPr="00AB2F4A">
        <w:t>to be perfo</w:t>
      </w:r>
      <w:r w:rsidR="008706C4">
        <w:t>r</w:t>
      </w:r>
      <w:r w:rsidRPr="00AB2F4A">
        <w:t>med by GeneDx</w:t>
      </w:r>
      <w:r w:rsidR="002D0B92" w:rsidRPr="00AB2F4A">
        <w:t xml:space="preserve">.  </w:t>
      </w:r>
      <w:r w:rsidRPr="00AB2F4A">
        <w:t xml:space="preserve">It is my professional determination that testing is medically necessary and will have a direct impact on this patient’s treatment and management.   </w:t>
      </w:r>
    </w:p>
    <w:p w:rsidR="006337EC" w:rsidRDefault="006337EC" w:rsidP="00AB2F4A">
      <w:pPr>
        <w:pStyle w:val="NoSpacing"/>
      </w:pPr>
    </w:p>
    <w:p w:rsidR="00B374A4" w:rsidRPr="00B374A4" w:rsidRDefault="00B374A4" w:rsidP="00AB2F4A">
      <w:pPr>
        <w:pStyle w:val="NoSpacing"/>
        <w:rPr>
          <w:b/>
        </w:rPr>
      </w:pPr>
      <w:r w:rsidRPr="00B374A4">
        <w:rPr>
          <w:b/>
        </w:rPr>
        <w:t xml:space="preserve">Patient </w:t>
      </w:r>
      <w:r>
        <w:rPr>
          <w:b/>
        </w:rPr>
        <w:t>Clinical and Family History</w:t>
      </w:r>
    </w:p>
    <w:p w:rsidR="006337EC" w:rsidRDefault="006337EC" w:rsidP="006337EC">
      <w:pPr>
        <w:pStyle w:val="NoSpacing"/>
      </w:pPr>
      <w:r>
        <w:t>This testing is requested due to this</w:t>
      </w:r>
      <w:r w:rsidRPr="00AB2F4A">
        <w:t xml:space="preserve"> patient’s person</w:t>
      </w:r>
      <w:r w:rsidR="00855940">
        <w:t>al medical history, which includes the following clinical findings</w:t>
      </w:r>
      <w:r w:rsidRPr="00AB2F4A">
        <w:t xml:space="preserve">:  </w:t>
      </w:r>
    </w:p>
    <w:p w:rsidR="006337EC" w:rsidRPr="00AB2F4A" w:rsidRDefault="006337EC" w:rsidP="006337EC">
      <w:pPr>
        <w:pStyle w:val="NoSpacing"/>
      </w:pPr>
    </w:p>
    <w:p w:rsidR="006337EC" w:rsidRPr="00AB2F4A" w:rsidRDefault="006337EC" w:rsidP="006337EC">
      <w:pPr>
        <w:pStyle w:val="NoSpacing"/>
        <w:numPr>
          <w:ilvl w:val="0"/>
          <w:numId w:val="6"/>
        </w:numPr>
        <w:rPr>
          <w:color w:val="FF0000"/>
        </w:rPr>
      </w:pPr>
      <w:r>
        <w:rPr>
          <w:color w:val="FF0000"/>
        </w:rPr>
        <w:t xml:space="preserve">Add Phenotype </w:t>
      </w:r>
    </w:p>
    <w:p w:rsidR="006337EC" w:rsidRPr="00AB2F4A" w:rsidRDefault="006337EC" w:rsidP="006337EC">
      <w:pPr>
        <w:pStyle w:val="NoSpacing"/>
        <w:numPr>
          <w:ilvl w:val="0"/>
          <w:numId w:val="6"/>
        </w:numPr>
        <w:rPr>
          <w:color w:val="FF0000"/>
        </w:rPr>
      </w:pPr>
      <w:r>
        <w:rPr>
          <w:color w:val="FF0000"/>
        </w:rPr>
        <w:t xml:space="preserve">Add Phenotype </w:t>
      </w:r>
    </w:p>
    <w:p w:rsidR="006337EC" w:rsidRDefault="006337EC" w:rsidP="00AB2F4A">
      <w:pPr>
        <w:pStyle w:val="NoSpacing"/>
        <w:numPr>
          <w:ilvl w:val="0"/>
          <w:numId w:val="6"/>
        </w:numPr>
        <w:rPr>
          <w:color w:val="FF0000"/>
        </w:rPr>
      </w:pPr>
      <w:r>
        <w:rPr>
          <w:color w:val="FF0000"/>
        </w:rPr>
        <w:t>Add Phenotype</w:t>
      </w:r>
    </w:p>
    <w:p w:rsidR="00855940" w:rsidRDefault="00855940" w:rsidP="00855940">
      <w:pPr>
        <w:pStyle w:val="NoSpacing"/>
        <w:rPr>
          <w:color w:val="FF0000"/>
        </w:rPr>
      </w:pPr>
    </w:p>
    <w:p w:rsidR="00855940" w:rsidRDefault="00855940" w:rsidP="00855940">
      <w:pPr>
        <w:pStyle w:val="NoSpacing"/>
      </w:pPr>
      <w:r>
        <w:t xml:space="preserve">The patient’s family history is </w:t>
      </w:r>
      <w:r w:rsidRPr="00855940">
        <w:rPr>
          <w:color w:val="FF0000"/>
        </w:rPr>
        <w:t>negative</w:t>
      </w:r>
      <w:r>
        <w:rPr>
          <w:color w:val="FF0000"/>
        </w:rPr>
        <w:t xml:space="preserve"> for related conditions</w:t>
      </w:r>
      <w:r w:rsidRPr="00855940">
        <w:rPr>
          <w:color w:val="FF0000"/>
        </w:rPr>
        <w:t xml:space="preserve"> / unknown / remarkable for the following </w:t>
      </w:r>
      <w:r>
        <w:rPr>
          <w:color w:val="FF0000"/>
        </w:rPr>
        <w:t xml:space="preserve">related clinical features: </w:t>
      </w:r>
    </w:p>
    <w:p w:rsidR="00ED14F6" w:rsidRDefault="00ED14F6" w:rsidP="00855940">
      <w:pPr>
        <w:pStyle w:val="NoSpacing"/>
      </w:pPr>
    </w:p>
    <w:p w:rsidR="00ED14F6" w:rsidRDefault="00ED14F6" w:rsidP="00855940">
      <w:pPr>
        <w:pStyle w:val="NoSpacing"/>
        <w:rPr>
          <w:color w:val="FF0000"/>
        </w:rPr>
      </w:pPr>
      <w:r>
        <w:rPr>
          <w:color w:val="FF0000"/>
        </w:rPr>
        <w:t>The patient has previously had the following uninformative genetic and other testing:</w:t>
      </w:r>
    </w:p>
    <w:p w:rsidR="00ED14F6" w:rsidRDefault="00ED14F6" w:rsidP="00301F9D">
      <w:pPr>
        <w:pStyle w:val="NoSpacing"/>
        <w:numPr>
          <w:ilvl w:val="0"/>
          <w:numId w:val="9"/>
        </w:numPr>
        <w:rPr>
          <w:color w:val="FF0000"/>
        </w:rPr>
      </w:pPr>
      <w:r>
        <w:rPr>
          <w:color w:val="FF0000"/>
        </w:rPr>
        <w:t>Add test</w:t>
      </w:r>
    </w:p>
    <w:p w:rsidR="00ED14F6" w:rsidRDefault="00ED14F6" w:rsidP="00301F9D">
      <w:pPr>
        <w:pStyle w:val="NoSpacing"/>
        <w:numPr>
          <w:ilvl w:val="0"/>
          <w:numId w:val="9"/>
        </w:numPr>
        <w:rPr>
          <w:color w:val="FF0000"/>
        </w:rPr>
      </w:pPr>
      <w:r>
        <w:rPr>
          <w:color w:val="FF0000"/>
        </w:rPr>
        <w:t>Add test</w:t>
      </w:r>
    </w:p>
    <w:p w:rsidR="00ED14F6" w:rsidRPr="00301F9D" w:rsidRDefault="00ED14F6" w:rsidP="00301F9D">
      <w:pPr>
        <w:pStyle w:val="NoSpacing"/>
        <w:numPr>
          <w:ilvl w:val="0"/>
          <w:numId w:val="9"/>
        </w:numPr>
        <w:rPr>
          <w:color w:val="FF0000"/>
        </w:rPr>
      </w:pPr>
      <w:r>
        <w:rPr>
          <w:color w:val="FF0000"/>
        </w:rPr>
        <w:t>Add test</w:t>
      </w:r>
    </w:p>
    <w:p w:rsidR="00205DB4" w:rsidRDefault="00205DB4" w:rsidP="00AB2F4A">
      <w:pPr>
        <w:pStyle w:val="NoSpacing"/>
      </w:pPr>
    </w:p>
    <w:p w:rsidR="00B374A4" w:rsidRPr="00B374A4" w:rsidRDefault="00776731" w:rsidP="00AB2F4A">
      <w:pPr>
        <w:pStyle w:val="NoSpacing"/>
        <w:rPr>
          <w:b/>
        </w:rPr>
      </w:pPr>
      <w:r>
        <w:rPr>
          <w:b/>
        </w:rPr>
        <w:t>Clinical Evidence and Guidelines for Testing</w:t>
      </w:r>
    </w:p>
    <w:p w:rsidR="00D1474B" w:rsidRPr="006A1F30" w:rsidRDefault="00D1474B" w:rsidP="00D1474B">
      <w:pPr>
        <w:spacing w:after="240"/>
      </w:pPr>
      <w:r w:rsidRPr="006A1F30">
        <w:t xml:space="preserve">The </w:t>
      </w:r>
      <w:proofErr w:type="spellStart"/>
      <w:r w:rsidRPr="006A1F30">
        <w:t>Brugada</w:t>
      </w:r>
      <w:proofErr w:type="spellEnd"/>
      <w:r w:rsidRPr="006A1F30">
        <w:t xml:space="preserve"> Syndrome Panel includes germline analysis of genes involved in conditions that include severe cardiovascular manifestations, including sudden cardiac arrest and sudden cardiac death. Panel testing includes both sequencing and deletion/duplication analysis of </w:t>
      </w:r>
      <w:r>
        <w:t>multiple genes simultaneously.</w:t>
      </w:r>
    </w:p>
    <w:p w:rsidR="00D1474B" w:rsidRPr="006A1F30" w:rsidRDefault="00D1474B" w:rsidP="00D1474B">
      <w:pPr>
        <w:spacing w:after="240"/>
        <w:rPr>
          <w:color w:val="000000"/>
        </w:rPr>
      </w:pPr>
      <w:proofErr w:type="spellStart"/>
      <w:r w:rsidRPr="006A1F30">
        <w:rPr>
          <w:color w:val="000000"/>
        </w:rPr>
        <w:t>Brugada</w:t>
      </w:r>
      <w:proofErr w:type="spellEnd"/>
      <w:r w:rsidRPr="006A1F30">
        <w:rPr>
          <w:color w:val="000000"/>
        </w:rPr>
        <w:t xml:space="preserve"> syndrome (</w:t>
      </w:r>
      <w:proofErr w:type="spellStart"/>
      <w:r w:rsidRPr="006A1F30">
        <w:rPr>
          <w:color w:val="000000"/>
        </w:rPr>
        <w:t>BrS</w:t>
      </w:r>
      <w:proofErr w:type="spellEnd"/>
      <w:r w:rsidRPr="006A1F30">
        <w:rPr>
          <w:color w:val="000000"/>
        </w:rPr>
        <w:t>) is a genetic heart disorder due to abnormal ion channel function characterized by ST segment elevation on ECG (leads V1-3) in the absence of structural heart disease.</w:t>
      </w:r>
      <w:r w:rsidRPr="006A1F30">
        <w:rPr>
          <w:color w:val="000000"/>
          <w:vertAlign w:val="superscript"/>
        </w:rPr>
        <w:t>1,2,3</w:t>
      </w:r>
      <w:r w:rsidRPr="006A1F30">
        <w:rPr>
          <w:color w:val="000000"/>
        </w:rPr>
        <w:t xml:space="preserve"> It is associated with increased risk for syncope, ventricular tachyarrhythmia</w:t>
      </w:r>
      <w:r>
        <w:rPr>
          <w:color w:val="000000"/>
        </w:rPr>
        <w:t>,</w:t>
      </w:r>
      <w:r w:rsidRPr="006A1F30">
        <w:rPr>
          <w:color w:val="000000"/>
        </w:rPr>
        <w:t xml:space="preserve"> and sudden cardiac death. In individuals with an apparently normal heart, </w:t>
      </w:r>
      <w:proofErr w:type="spellStart"/>
      <w:r w:rsidRPr="006A1F30">
        <w:rPr>
          <w:color w:val="000000"/>
        </w:rPr>
        <w:t>BrS</w:t>
      </w:r>
      <w:proofErr w:type="spellEnd"/>
      <w:r w:rsidRPr="006A1F30">
        <w:rPr>
          <w:color w:val="000000"/>
        </w:rPr>
        <w:t xml:space="preserve"> accounts for up to 20% of unexpected sudden deaths </w:t>
      </w:r>
      <w:r w:rsidRPr="006A1F30">
        <w:rPr>
          <w:color w:val="000000"/>
        </w:rPr>
        <w:lastRenderedPageBreak/>
        <w:t>and is suspected to account for 4-12% of all unexpected sudden deaths.</w:t>
      </w:r>
      <w:r w:rsidRPr="006A1F30">
        <w:rPr>
          <w:color w:val="000000"/>
          <w:vertAlign w:val="superscript"/>
        </w:rPr>
        <w:t>4</w:t>
      </w:r>
      <w:r w:rsidRPr="006A1F30">
        <w:rPr>
          <w:color w:val="000000"/>
        </w:rPr>
        <w:t xml:space="preserve"> </w:t>
      </w:r>
      <w:proofErr w:type="spellStart"/>
      <w:r w:rsidRPr="006A1F30">
        <w:rPr>
          <w:color w:val="000000"/>
        </w:rPr>
        <w:t>BrS</w:t>
      </w:r>
      <w:proofErr w:type="spellEnd"/>
      <w:r w:rsidRPr="006A1F30">
        <w:rPr>
          <w:color w:val="000000"/>
        </w:rPr>
        <w:t xml:space="preserve"> occurs worldwide and is estimated to affect 5 per 10,000 individuals of all ethnicities, with some regional differences.</w:t>
      </w:r>
      <w:r w:rsidRPr="006A1F30">
        <w:rPr>
          <w:color w:val="000000"/>
          <w:vertAlign w:val="superscript"/>
        </w:rPr>
        <w:t>3</w:t>
      </w:r>
    </w:p>
    <w:p w:rsidR="008433F4" w:rsidRDefault="00D1474B" w:rsidP="00D1474B">
      <w:pPr>
        <w:spacing w:after="240"/>
      </w:pPr>
      <w:r w:rsidRPr="006A1F30">
        <w:rPr>
          <w:color w:val="000000"/>
        </w:rPr>
        <w:t xml:space="preserve">The diagnosis of </w:t>
      </w:r>
      <w:proofErr w:type="spellStart"/>
      <w:r w:rsidRPr="006A1F30">
        <w:rPr>
          <w:color w:val="000000"/>
        </w:rPr>
        <w:t>BrS</w:t>
      </w:r>
      <w:proofErr w:type="spellEnd"/>
      <w:r w:rsidRPr="006A1F30">
        <w:rPr>
          <w:color w:val="000000"/>
        </w:rPr>
        <w:t xml:space="preserve"> is based on clinical history, ECG findings, and family history. Typically, the disorder manifests in patients between ages 20 to 40, but symptoms have been reported from infancy through late life.</w:t>
      </w:r>
      <w:r w:rsidRPr="006A1F30">
        <w:rPr>
          <w:color w:val="000000"/>
          <w:vertAlign w:val="superscript"/>
        </w:rPr>
        <w:t>1</w:t>
      </w:r>
      <w:r w:rsidRPr="006A1F30">
        <w:rPr>
          <w:color w:val="000000"/>
        </w:rPr>
        <w:t xml:space="preserve"> </w:t>
      </w:r>
      <w:proofErr w:type="gramStart"/>
      <w:r w:rsidRPr="006A1F30">
        <w:rPr>
          <w:color w:val="000000"/>
        </w:rPr>
        <w:t>Most</w:t>
      </w:r>
      <w:proofErr w:type="gramEnd"/>
      <w:r w:rsidRPr="006A1F30">
        <w:rPr>
          <w:color w:val="000000"/>
        </w:rPr>
        <w:t xml:space="preserve"> individuals with </w:t>
      </w:r>
      <w:proofErr w:type="spellStart"/>
      <w:r w:rsidRPr="006A1F30">
        <w:rPr>
          <w:color w:val="000000"/>
        </w:rPr>
        <w:t>BrS</w:t>
      </w:r>
      <w:proofErr w:type="spellEnd"/>
      <w:r w:rsidRPr="006A1F30">
        <w:rPr>
          <w:color w:val="000000"/>
        </w:rPr>
        <w:t xml:space="preserve"> are asymptomatic. The most common clinical symptoms are syncope and cardiac arrest that occur at rest, during sleep, or with</w:t>
      </w:r>
      <w:r>
        <w:rPr>
          <w:color w:val="000000"/>
        </w:rPr>
        <w:t xml:space="preserve"> a</w:t>
      </w:r>
      <w:r w:rsidRPr="006A1F30">
        <w:rPr>
          <w:color w:val="000000"/>
        </w:rPr>
        <w:t xml:space="preserve"> high fever. In some patients, symptoms of </w:t>
      </w:r>
      <w:proofErr w:type="spellStart"/>
      <w:r w:rsidRPr="006A1F30">
        <w:rPr>
          <w:color w:val="000000"/>
        </w:rPr>
        <w:t>BrS</w:t>
      </w:r>
      <w:proofErr w:type="spellEnd"/>
      <w:r w:rsidRPr="006A1F30">
        <w:rPr>
          <w:color w:val="000000"/>
        </w:rPr>
        <w:t xml:space="preserve"> will develop after taking certain medications such as sodium channel blockers. Sudden cardiac death may occur without preceding symptoms and without an identifiable cause at autopsy. Additionally, many symptoms of </w:t>
      </w:r>
      <w:proofErr w:type="spellStart"/>
      <w:r w:rsidRPr="006A1F30">
        <w:rPr>
          <w:color w:val="000000"/>
        </w:rPr>
        <w:t>BrS</w:t>
      </w:r>
      <w:proofErr w:type="spellEnd"/>
      <w:r w:rsidRPr="006A1F30">
        <w:rPr>
          <w:color w:val="000000"/>
        </w:rPr>
        <w:t xml:space="preserve"> are similar to those of other heart conditions, such as </w:t>
      </w:r>
      <w:proofErr w:type="spellStart"/>
      <w:r w:rsidRPr="006A1F30">
        <w:rPr>
          <w:color w:val="000000"/>
        </w:rPr>
        <w:t>arrhythmogenic</w:t>
      </w:r>
      <w:proofErr w:type="spellEnd"/>
      <w:r w:rsidRPr="006A1F30">
        <w:rPr>
          <w:color w:val="000000"/>
        </w:rPr>
        <w:t xml:space="preserve"> right ventricular cardiomyopathy (ARVC), atypical right bundle branch block, left ventricular hypertrophy, early repolarization, acute myocardial infarction, and acute pericarditis.</w:t>
      </w:r>
      <w:r w:rsidRPr="006A1F30">
        <w:rPr>
          <w:color w:val="000000"/>
          <w:vertAlign w:val="superscript"/>
        </w:rPr>
        <w:t>1</w:t>
      </w:r>
      <w:r>
        <w:rPr>
          <w:vertAlign w:val="superscript"/>
        </w:rPr>
        <w:t xml:space="preserve"> </w:t>
      </w:r>
      <w:r>
        <w:t xml:space="preserve"> </w:t>
      </w:r>
      <w:r w:rsidRPr="006A1F30">
        <w:t xml:space="preserve">Genetic predispositions to arrhythmias can be inherited in an autosomal dominant, autosomal recessive, X-linked, or mitochondrial manner. </w:t>
      </w:r>
    </w:p>
    <w:p w:rsidR="008433F4" w:rsidRDefault="008433F4" w:rsidP="00D1474B">
      <w:pPr>
        <w:spacing w:after="240"/>
      </w:pPr>
      <w:r w:rsidRPr="006A1F30">
        <w:t>The diagnosis of arrhythmias can often be established by noninvasive electrophysiological studies, including electrocardio</w:t>
      </w:r>
      <w:r>
        <w:t xml:space="preserve">gram, cardiac stress test, </w:t>
      </w:r>
      <w:proofErr w:type="spellStart"/>
      <w:r>
        <w:t>H</w:t>
      </w:r>
      <w:r w:rsidRPr="006A1F30">
        <w:t>olter</w:t>
      </w:r>
      <w:proofErr w:type="spellEnd"/>
      <w:r w:rsidRPr="006A1F30">
        <w:t xml:space="preserve"> and other event monitoring. However, when imaging results are absent, subtle, or non-specific, molecular diagnosis with genetic testing aids in diagnosis, management and establishing recu</w:t>
      </w:r>
      <w:r>
        <w:t>rrence risk for family members.</w:t>
      </w:r>
    </w:p>
    <w:p w:rsidR="008433F4" w:rsidRDefault="008433F4" w:rsidP="008433F4">
      <w:pPr>
        <w:spacing w:after="240"/>
      </w:pPr>
      <w:r>
        <w:t>National and international medical societies have published guidelines that recommend geneti</w:t>
      </w:r>
      <w:r w:rsidR="00471811">
        <w:t xml:space="preserve">c testing for </w:t>
      </w:r>
      <w:proofErr w:type="spellStart"/>
      <w:r w:rsidR="00471811">
        <w:t>Brugada</w:t>
      </w:r>
      <w:proofErr w:type="spellEnd"/>
      <w:r w:rsidR="00471811">
        <w:t xml:space="preserve"> syndrome </w:t>
      </w:r>
      <w:r>
        <w:t>and other arrhythmias:</w:t>
      </w:r>
    </w:p>
    <w:p w:rsidR="008433F4" w:rsidRPr="00D1658E" w:rsidRDefault="00D1658E" w:rsidP="00D1658E">
      <w:pPr>
        <w:pStyle w:val="NoSpacing"/>
        <w:numPr>
          <w:ilvl w:val="0"/>
          <w:numId w:val="10"/>
        </w:numPr>
      </w:pPr>
      <w:r w:rsidRPr="009010A6">
        <w:t xml:space="preserve">The </w:t>
      </w:r>
      <w:r>
        <w:t>Heart Rhythm Society / European Heart Rhythm Association (</w:t>
      </w:r>
      <w:r w:rsidRPr="009010A6">
        <w:t>HRS/EHRA</w:t>
      </w:r>
      <w:r>
        <w:t>)</w:t>
      </w:r>
      <w:r w:rsidRPr="007E6F57">
        <w:t xml:space="preserve"> Expert Consensus Statement on the State of Genetic Testing for the </w:t>
      </w:r>
      <w:proofErr w:type="spellStart"/>
      <w:r w:rsidRPr="007E6F57">
        <w:t>Channelopathies</w:t>
      </w:r>
      <w:proofErr w:type="spellEnd"/>
      <w:r w:rsidRPr="007E6F57">
        <w:t xml:space="preserve"> and Cardiomyopathies </w:t>
      </w:r>
      <w:r w:rsidR="008433F4" w:rsidRPr="006A1F30">
        <w:t>states that comprehensive or targeted genetic testing can be useful for patients with clinical suspicion of BrS.</w:t>
      </w:r>
      <w:r w:rsidR="00CC405F">
        <w:rPr>
          <w:vertAlign w:val="superscript"/>
        </w:rPr>
        <w:t>7</w:t>
      </w:r>
    </w:p>
    <w:p w:rsidR="00D1658E" w:rsidRPr="008433F4" w:rsidRDefault="00D1658E" w:rsidP="00D1658E">
      <w:pPr>
        <w:pStyle w:val="NoSpacing"/>
        <w:ind w:left="720"/>
      </w:pPr>
    </w:p>
    <w:p w:rsidR="00B374A4" w:rsidRPr="00B374A4" w:rsidRDefault="00776731" w:rsidP="00AB2F4A">
      <w:pPr>
        <w:pStyle w:val="NoSpacing"/>
        <w:rPr>
          <w:b/>
        </w:rPr>
      </w:pPr>
      <w:r>
        <w:rPr>
          <w:b/>
        </w:rPr>
        <w:t xml:space="preserve">Patient Clinical Utility and </w:t>
      </w:r>
      <w:r w:rsidR="00B374A4" w:rsidRPr="00B374A4">
        <w:rPr>
          <w:b/>
        </w:rPr>
        <w:t>Medical Management</w:t>
      </w:r>
      <w:r w:rsidR="00B374A4">
        <w:rPr>
          <w:b/>
        </w:rPr>
        <w:t xml:space="preserve"> Implications</w:t>
      </w:r>
      <w:r w:rsidR="00B374A4" w:rsidRPr="00B374A4">
        <w:rPr>
          <w:b/>
        </w:rPr>
        <w:t xml:space="preserve"> </w:t>
      </w:r>
    </w:p>
    <w:p w:rsidR="008433F4" w:rsidRDefault="008433F4" w:rsidP="008433F4">
      <w:pPr>
        <w:pStyle w:val="NoSpacing"/>
      </w:pPr>
      <w:r>
        <w:t>T</w:t>
      </w:r>
      <w:r w:rsidRPr="006A1F30">
        <w:t>he results</w:t>
      </w:r>
      <w:r>
        <w:t xml:space="preserve"> of this testing</w:t>
      </w:r>
      <w:r w:rsidRPr="006A1F30">
        <w:t xml:space="preserve"> will guide appropriate medical management for this patient, including surveillance, preventive measures, and medical and surgical treatment. Treatment for </w:t>
      </w:r>
      <w:r>
        <w:t>arrhythmia</w:t>
      </w:r>
      <w:r w:rsidRPr="006A1F30">
        <w:t xml:space="preserve"> and surveillance for progression is critical and is strongly influenced by knowledge of the underlying genetic cause.</w:t>
      </w:r>
      <w:r w:rsidRPr="006A1F30">
        <w:rPr>
          <w:vertAlign w:val="superscript"/>
        </w:rPr>
        <w:t>1</w:t>
      </w:r>
      <w:proofErr w:type="gramStart"/>
      <w:r w:rsidRPr="006A1F30">
        <w:rPr>
          <w:vertAlign w:val="superscript"/>
        </w:rPr>
        <w:t>,5,6</w:t>
      </w:r>
      <w:proofErr w:type="gramEnd"/>
      <w:r>
        <w:rPr>
          <w:vertAlign w:val="superscript"/>
        </w:rPr>
        <w:t xml:space="preserve"> </w:t>
      </w:r>
      <w:r>
        <w:t xml:space="preserve"> </w:t>
      </w:r>
      <w:r w:rsidRPr="006A1F30">
        <w:t>Molecular genetic testing is critical to aid patient management in a cost-effective way and to min</w:t>
      </w:r>
      <w:r>
        <w:t xml:space="preserve">imize morbidity and mortality. </w:t>
      </w:r>
    </w:p>
    <w:p w:rsidR="008433F4" w:rsidRDefault="008433F4" w:rsidP="008433F4">
      <w:pPr>
        <w:pStyle w:val="NoSpacing"/>
      </w:pPr>
    </w:p>
    <w:p w:rsidR="008433F4" w:rsidRDefault="008433F4" w:rsidP="008433F4">
      <w:pPr>
        <w:pStyle w:val="NoSpacing"/>
      </w:pPr>
      <w:r w:rsidRPr="00E04209">
        <w:t>Manag</w:t>
      </w:r>
      <w:r w:rsidR="001A1A16">
        <w:t xml:space="preserve">ement of </w:t>
      </w:r>
      <w:proofErr w:type="spellStart"/>
      <w:r w:rsidR="001A1A16">
        <w:t>Brugada</w:t>
      </w:r>
      <w:proofErr w:type="spellEnd"/>
      <w:r w:rsidR="001A1A16">
        <w:t xml:space="preserve"> syndrome</w:t>
      </w:r>
      <w:r w:rsidR="00293F12">
        <w:t xml:space="preserve"> is summarized in</w:t>
      </w:r>
      <w:r w:rsidRPr="00E04209">
        <w:t xml:space="preserve"> specific consensus document</w:t>
      </w:r>
      <w:r w:rsidR="00293F12">
        <w:t>s</w:t>
      </w:r>
      <w:r w:rsidRPr="00E04209">
        <w:t xml:space="preserve"> from the </w:t>
      </w:r>
      <w:r w:rsidR="00293F12">
        <w:t xml:space="preserve">American College of Cardiology / American Heart Association (ACC/AHA), the </w:t>
      </w:r>
      <w:r w:rsidRPr="00E04209">
        <w:t>Heart Rhythm Association (HRS) and the European Heart Rhythm Association (EHRA)</w:t>
      </w:r>
      <w:r w:rsidR="00293F12">
        <w:t>, and in the</w:t>
      </w:r>
      <w:r w:rsidRPr="00E04209">
        <w:t xml:space="preserve"> European Society of Cardiology (ESC) guidelines on ventricular arrhythmias.</w:t>
      </w:r>
      <w:r w:rsidR="00CC405F">
        <w:rPr>
          <w:vertAlign w:val="superscript"/>
        </w:rPr>
        <w:t>5,6</w:t>
      </w:r>
      <w:r w:rsidR="00293F12">
        <w:rPr>
          <w:vertAlign w:val="superscript"/>
        </w:rPr>
        <w:t>,8</w:t>
      </w:r>
      <w:r w:rsidR="00CC405F">
        <w:t xml:space="preserve">  </w:t>
      </w:r>
      <w:r w:rsidR="00CC405F" w:rsidRPr="006A1F30">
        <w:t xml:space="preserve">ICD implantation is the only therapy currently known to be effective in persons with </w:t>
      </w:r>
      <w:proofErr w:type="spellStart"/>
      <w:r w:rsidR="00CC405F" w:rsidRPr="006A1F30">
        <w:t>Brugada</w:t>
      </w:r>
      <w:proofErr w:type="spellEnd"/>
      <w:r w:rsidR="00CC405F" w:rsidRPr="006A1F30">
        <w:t xml:space="preserve"> syndrome with syncope or cardiac arrest.</w:t>
      </w:r>
      <w:r w:rsidR="00CC405F" w:rsidRPr="006A1F30">
        <w:rPr>
          <w:vertAlign w:val="superscript"/>
        </w:rPr>
        <w:t>5</w:t>
      </w:r>
      <w:r w:rsidR="00CC405F">
        <w:rPr>
          <w:vertAlign w:val="superscript"/>
        </w:rPr>
        <w:t>,6</w:t>
      </w:r>
      <w:r w:rsidR="00CC405F" w:rsidRPr="006A1F30">
        <w:t xml:space="preserve"> </w:t>
      </w:r>
      <w:r w:rsidRPr="006A1F30">
        <w:t xml:space="preserve">In patients with </w:t>
      </w:r>
      <w:proofErr w:type="spellStart"/>
      <w:r w:rsidRPr="006A1F30">
        <w:t>Brugada</w:t>
      </w:r>
      <w:proofErr w:type="spellEnd"/>
      <w:r w:rsidRPr="006A1F30">
        <w:t xml:space="preserve"> syndrome, quinidine has been shown to restore ST segment elevation and decrease the incidence of arrhythmias</w:t>
      </w:r>
      <w:r w:rsidR="00CC405F">
        <w:t xml:space="preserve"> and can be useful in patients with </w:t>
      </w:r>
      <w:proofErr w:type="spellStart"/>
      <w:r w:rsidR="00CC405F">
        <w:t>Brugada</w:t>
      </w:r>
      <w:proofErr w:type="spellEnd"/>
      <w:r w:rsidR="00CC405F">
        <w:t xml:space="preserve"> syndrome</w:t>
      </w:r>
      <w:r w:rsidRPr="006A1F30">
        <w:t>.</w:t>
      </w:r>
      <w:r w:rsidRPr="006A1F30">
        <w:rPr>
          <w:vertAlign w:val="superscript"/>
        </w:rPr>
        <w:t>1</w:t>
      </w:r>
      <w:r>
        <w:t xml:space="preserve"> </w:t>
      </w:r>
    </w:p>
    <w:p w:rsidR="00CC405F" w:rsidRDefault="00CC405F" w:rsidP="008433F4">
      <w:pPr>
        <w:pStyle w:val="NoSpacing"/>
      </w:pPr>
    </w:p>
    <w:p w:rsidR="00887B41" w:rsidRPr="00887B41" w:rsidRDefault="00887B41" w:rsidP="00AB2F4A">
      <w:pPr>
        <w:pStyle w:val="NoSpacing"/>
        <w:rPr>
          <w:color w:val="FF0000"/>
        </w:rPr>
      </w:pPr>
      <w:r>
        <w:rPr>
          <w:color w:val="FF0000"/>
        </w:rPr>
        <w:t xml:space="preserve">Specifically for this patient, the results of </w:t>
      </w:r>
      <w:r w:rsidR="0074159D">
        <w:rPr>
          <w:color w:val="FF0000"/>
        </w:rPr>
        <w:t>this test</w:t>
      </w:r>
      <w:r>
        <w:rPr>
          <w:color w:val="FF0000"/>
        </w:rPr>
        <w:t xml:space="preserve"> will also </w:t>
      </w:r>
      <w:r w:rsidR="00535623">
        <w:rPr>
          <w:color w:val="FF0000"/>
        </w:rPr>
        <w:t>{</w:t>
      </w:r>
      <w:r>
        <w:rPr>
          <w:color w:val="FF0000"/>
        </w:rPr>
        <w:t>ADD ADDITIONAL INFORMATION}</w:t>
      </w:r>
    </w:p>
    <w:p w:rsidR="00B27690" w:rsidRDefault="00B27690" w:rsidP="00AB2F4A">
      <w:pPr>
        <w:pStyle w:val="NoSpacing"/>
      </w:pPr>
    </w:p>
    <w:p w:rsidR="00B374A4" w:rsidRPr="00B374A4" w:rsidRDefault="00B374A4" w:rsidP="00AB2F4A">
      <w:pPr>
        <w:pStyle w:val="NoSpacing"/>
        <w:rPr>
          <w:b/>
        </w:rPr>
      </w:pPr>
      <w:r w:rsidRPr="00B374A4">
        <w:rPr>
          <w:b/>
        </w:rPr>
        <w:t>Summary</w:t>
      </w:r>
    </w:p>
    <w:p w:rsidR="00AB2F4A" w:rsidRDefault="00D1474B" w:rsidP="00AB2F4A">
      <w:pPr>
        <w:pStyle w:val="NoSpacing"/>
      </w:pPr>
      <w:r>
        <w:lastRenderedPageBreak/>
        <w:t xml:space="preserve">The </w:t>
      </w:r>
      <w:proofErr w:type="spellStart"/>
      <w:r w:rsidRPr="006A1F30">
        <w:t>Brugada</w:t>
      </w:r>
      <w:proofErr w:type="spellEnd"/>
      <w:r w:rsidRPr="006A1F30">
        <w:t xml:space="preserve"> Syndrome Panel</w:t>
      </w:r>
      <w:r w:rsidRPr="00AB2F4A">
        <w:t xml:space="preserve"> </w:t>
      </w:r>
      <w:r w:rsidR="00AB2F4A" w:rsidRPr="00AB2F4A">
        <w:t>at GeneD</w:t>
      </w:r>
      <w:r w:rsidR="00342070">
        <w:t xml:space="preserve">x is a highly sensitive </w:t>
      </w:r>
      <w:r w:rsidR="00AB2F4A" w:rsidRPr="00AB2F4A">
        <w:t>and cost-effective geneti</w:t>
      </w:r>
      <w:r w:rsidR="00342070">
        <w:t>c test</w:t>
      </w:r>
      <w:r w:rsidR="00AB2F4A" w:rsidRPr="00AB2F4A">
        <w:t xml:space="preserve">.  </w:t>
      </w:r>
      <w:r w:rsidR="00FB3BE6" w:rsidRPr="00AB2F4A">
        <w:t>I am requesting coverage for this medically necessary</w:t>
      </w:r>
      <w:r w:rsidR="00205DB4">
        <w:t xml:space="preserve"> test</w:t>
      </w:r>
      <w:r w:rsidR="00FB3BE6" w:rsidRPr="00AB2F4A">
        <w:t xml:space="preserve"> </w:t>
      </w:r>
      <w:r w:rsidR="00E04C9D" w:rsidRPr="00AB2F4A">
        <w:rPr>
          <w:color w:val="000000"/>
        </w:rPr>
        <w:t xml:space="preserve">in order to </w:t>
      </w:r>
      <w:r w:rsidR="00FB3BE6" w:rsidRPr="00AB2F4A">
        <w:rPr>
          <w:color w:val="000000"/>
        </w:rPr>
        <w:t>establish</w:t>
      </w:r>
      <w:r w:rsidR="00E04C9D" w:rsidRPr="00AB2F4A">
        <w:rPr>
          <w:color w:val="000000"/>
        </w:rPr>
        <w:t xml:space="preserve"> appropriate medical management for this patient.</w:t>
      </w:r>
      <w:r w:rsidR="00E04C9D" w:rsidRPr="00AB2F4A">
        <w:t xml:space="preserve">  Without testing, treatment would be suboptimal, subjecting this patient to increased morbidity and potentially early mortality.  </w:t>
      </w:r>
    </w:p>
    <w:p w:rsidR="00205DB4" w:rsidRPr="00AB2F4A" w:rsidRDefault="00205DB4" w:rsidP="00AB2F4A">
      <w:pPr>
        <w:pStyle w:val="NoSpacing"/>
      </w:pPr>
    </w:p>
    <w:p w:rsidR="00AB2F4A" w:rsidRDefault="00AB2F4A" w:rsidP="00AB2F4A">
      <w:pPr>
        <w:pStyle w:val="NoSpacing"/>
      </w:pPr>
      <w:r w:rsidRPr="00AB2F4A">
        <w:t xml:space="preserve">Thank you for your review and consideration.  If you have questions, or if I can be of further assistance, please do not hesitate to call me at </w:t>
      </w:r>
      <w:r w:rsidRPr="00AB2F4A">
        <w:rPr>
          <w:color w:val="FF0000"/>
        </w:rPr>
        <w:t>(XXX) XXX-XXXX</w:t>
      </w:r>
      <w:r>
        <w:t>.</w:t>
      </w:r>
    </w:p>
    <w:p w:rsidR="00205DB4" w:rsidRDefault="00205DB4" w:rsidP="00AB2F4A">
      <w:pPr>
        <w:pStyle w:val="NoSpacing"/>
      </w:pPr>
    </w:p>
    <w:p w:rsidR="00205DB4" w:rsidRDefault="00205DB4" w:rsidP="00AB2F4A">
      <w:pPr>
        <w:pStyle w:val="NoSpacing"/>
      </w:pPr>
      <w:r>
        <w:t>Sincerely,</w:t>
      </w:r>
    </w:p>
    <w:p w:rsidR="00205DB4" w:rsidRDefault="00205DB4" w:rsidP="00AB2F4A">
      <w:pPr>
        <w:pStyle w:val="NoSpacing"/>
      </w:pPr>
    </w:p>
    <w:p w:rsidR="00DB3B6E" w:rsidRDefault="00DB3B6E" w:rsidP="00AB2F4A">
      <w:pPr>
        <w:pStyle w:val="NoSpacing"/>
      </w:pPr>
    </w:p>
    <w:p w:rsidR="00205DB4" w:rsidRPr="00205DB4" w:rsidRDefault="00342070" w:rsidP="00AB2F4A">
      <w:pPr>
        <w:pStyle w:val="NoSpacing"/>
        <w:rPr>
          <w:color w:val="FF0000"/>
        </w:rPr>
      </w:pPr>
      <w:r>
        <w:rPr>
          <w:color w:val="FF0000"/>
        </w:rPr>
        <w:t>Signature</w:t>
      </w:r>
    </w:p>
    <w:p w:rsidR="00205DB4" w:rsidRDefault="00205DB4" w:rsidP="00AB2F4A">
      <w:pPr>
        <w:pStyle w:val="NoSpacing"/>
        <w:rPr>
          <w:color w:val="FF0000"/>
        </w:rPr>
      </w:pPr>
      <w:r w:rsidRPr="00205DB4">
        <w:rPr>
          <w:color w:val="FF0000"/>
        </w:rPr>
        <w:t>Ordering Provider’</w:t>
      </w:r>
      <w:r>
        <w:rPr>
          <w:color w:val="FF0000"/>
        </w:rPr>
        <w:t xml:space="preserve">s Name </w:t>
      </w:r>
    </w:p>
    <w:p w:rsidR="00C247D1" w:rsidRDefault="00C247D1" w:rsidP="00AB2F4A">
      <w:pPr>
        <w:pStyle w:val="NoSpacing"/>
        <w:rPr>
          <w:color w:val="FF0000"/>
        </w:rPr>
      </w:pPr>
    </w:p>
    <w:p w:rsidR="00C247D1" w:rsidRDefault="00C247D1" w:rsidP="00AB2F4A">
      <w:pPr>
        <w:pStyle w:val="NoSpacing"/>
        <w:rPr>
          <w:color w:val="FF0000"/>
        </w:rPr>
      </w:pPr>
    </w:p>
    <w:p w:rsidR="00454799" w:rsidRPr="008433F4" w:rsidRDefault="00454799" w:rsidP="00454799">
      <w:r w:rsidRPr="008433F4">
        <w:t>References:</w:t>
      </w:r>
    </w:p>
    <w:p w:rsidR="008433F4" w:rsidRPr="008433F4" w:rsidRDefault="008433F4" w:rsidP="008433F4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Style w:val="Hyperlink"/>
          <w:color w:val="auto"/>
          <w:u w:val="none"/>
        </w:rPr>
      </w:pPr>
      <w:proofErr w:type="spellStart"/>
      <w:r w:rsidRPr="008433F4">
        <w:t>Brugada</w:t>
      </w:r>
      <w:proofErr w:type="spellEnd"/>
      <w:r w:rsidRPr="008433F4">
        <w:t xml:space="preserve">, </w:t>
      </w:r>
      <w:proofErr w:type="spellStart"/>
      <w:r w:rsidRPr="008433F4">
        <w:t>Campuzano</w:t>
      </w:r>
      <w:proofErr w:type="spellEnd"/>
      <w:r w:rsidRPr="008433F4">
        <w:t xml:space="preserve">, </w:t>
      </w:r>
      <w:proofErr w:type="spellStart"/>
      <w:r w:rsidRPr="008433F4">
        <w:t>Brugada</w:t>
      </w:r>
      <w:proofErr w:type="spellEnd"/>
      <w:r w:rsidRPr="008433F4">
        <w:t xml:space="preserve">, et al. </w:t>
      </w:r>
      <w:proofErr w:type="spellStart"/>
      <w:r w:rsidRPr="008433F4">
        <w:t>Brugada</w:t>
      </w:r>
      <w:proofErr w:type="spellEnd"/>
      <w:r w:rsidRPr="008433F4">
        <w:t xml:space="preserve"> Syndrome. 2005 Mar 31 [Updated 2014 Apr 10]. In: </w:t>
      </w:r>
      <w:proofErr w:type="spellStart"/>
      <w:r w:rsidRPr="008433F4">
        <w:t>Pagon</w:t>
      </w:r>
      <w:proofErr w:type="spellEnd"/>
      <w:r w:rsidRPr="008433F4">
        <w:t xml:space="preserve"> RA, Adam MP, </w:t>
      </w:r>
      <w:proofErr w:type="spellStart"/>
      <w:r w:rsidRPr="008433F4">
        <w:t>Ardinger</w:t>
      </w:r>
      <w:proofErr w:type="spellEnd"/>
      <w:r w:rsidRPr="008433F4">
        <w:t xml:space="preserve"> HH, et al., editors. </w:t>
      </w:r>
      <w:proofErr w:type="spellStart"/>
      <w:r w:rsidRPr="008433F4">
        <w:t>GeneReviews</w:t>
      </w:r>
      <w:proofErr w:type="spellEnd"/>
      <w:r w:rsidRPr="008433F4">
        <w:t xml:space="preserve">® [Internet]. Seattle (WA): University of Washington, Seattle; 1993-2014. Available from: </w:t>
      </w:r>
      <w:hyperlink r:id="rId5" w:history="1">
        <w:r w:rsidRPr="008433F4">
          <w:rPr>
            <w:rStyle w:val="Hyperlink"/>
          </w:rPr>
          <w:t>http://www.ncbi.nlm.nih.gov/books/NBK1517/</w:t>
        </w:r>
      </w:hyperlink>
    </w:p>
    <w:p w:rsidR="008433F4" w:rsidRPr="008433F4" w:rsidRDefault="008433F4" w:rsidP="008433F4">
      <w:pPr>
        <w:pStyle w:val="ListParagraph"/>
        <w:widowControl w:val="0"/>
        <w:autoSpaceDE w:val="0"/>
        <w:autoSpaceDN w:val="0"/>
        <w:adjustRightInd w:val="0"/>
        <w:spacing w:after="0" w:line="240" w:lineRule="auto"/>
      </w:pPr>
    </w:p>
    <w:p w:rsidR="008433F4" w:rsidRDefault="008433F4" w:rsidP="008433F4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</w:pPr>
      <w:r w:rsidRPr="008433F4">
        <w:t xml:space="preserve">Hedley et al. (2009) </w:t>
      </w:r>
      <w:proofErr w:type="gramStart"/>
      <w:r>
        <w:t>The</w:t>
      </w:r>
      <w:proofErr w:type="gramEnd"/>
      <w:r>
        <w:t xml:space="preserve"> genetic basis of </w:t>
      </w:r>
      <w:proofErr w:type="spellStart"/>
      <w:r>
        <w:t>Brugada</w:t>
      </w:r>
      <w:proofErr w:type="spellEnd"/>
      <w:r>
        <w:t xml:space="preserve"> syndrome: a mutation update. </w:t>
      </w:r>
      <w:r w:rsidRPr="008433F4">
        <w:t xml:space="preserve">Human Mutation 30 (9):1256-66 (PMID: 19606473) </w:t>
      </w:r>
    </w:p>
    <w:p w:rsidR="008433F4" w:rsidRPr="008433F4" w:rsidRDefault="008433F4" w:rsidP="008433F4">
      <w:pPr>
        <w:autoSpaceDE w:val="0"/>
        <w:autoSpaceDN w:val="0"/>
        <w:adjustRightInd w:val="0"/>
        <w:spacing w:after="0" w:line="240" w:lineRule="auto"/>
      </w:pPr>
    </w:p>
    <w:p w:rsidR="008433F4" w:rsidRDefault="008433F4" w:rsidP="008433F4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</w:pPr>
      <w:r w:rsidRPr="008433F4">
        <w:t xml:space="preserve">Fowler et al. (2009) </w:t>
      </w:r>
      <w:r>
        <w:t xml:space="preserve">Clinical spectrum of patients with a </w:t>
      </w:r>
      <w:proofErr w:type="spellStart"/>
      <w:r>
        <w:t>Brugada</w:t>
      </w:r>
      <w:proofErr w:type="spellEnd"/>
      <w:r>
        <w:t xml:space="preserve"> ECG. </w:t>
      </w:r>
      <w:r w:rsidRPr="008433F4">
        <w:t xml:space="preserve">Current Opinion In Cardiology 24 (1):74-81 (PMID: 19102039) </w:t>
      </w:r>
    </w:p>
    <w:p w:rsidR="008433F4" w:rsidRPr="008433F4" w:rsidRDefault="008433F4" w:rsidP="008433F4">
      <w:pPr>
        <w:autoSpaceDE w:val="0"/>
        <w:autoSpaceDN w:val="0"/>
        <w:adjustRightInd w:val="0"/>
        <w:spacing w:after="0" w:line="240" w:lineRule="auto"/>
      </w:pPr>
    </w:p>
    <w:p w:rsidR="008433F4" w:rsidRDefault="008433F4" w:rsidP="008433F4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</w:pPr>
      <w:proofErr w:type="spellStart"/>
      <w:r w:rsidRPr="008433F4">
        <w:t>Antzelevitch</w:t>
      </w:r>
      <w:proofErr w:type="spellEnd"/>
      <w:r w:rsidRPr="008433F4">
        <w:t xml:space="preserve"> et al. (2002) </w:t>
      </w:r>
      <w:proofErr w:type="spellStart"/>
      <w:r>
        <w:t>Brugada</w:t>
      </w:r>
      <w:proofErr w:type="spellEnd"/>
      <w:r>
        <w:t xml:space="preserve"> syndrome: a decade of progress. </w:t>
      </w:r>
      <w:r w:rsidRPr="008433F4">
        <w:t xml:space="preserve">Circ. Res. 91 (12):1114-8 (PMID: 12480811) </w:t>
      </w:r>
    </w:p>
    <w:p w:rsidR="008433F4" w:rsidRPr="008433F4" w:rsidRDefault="008433F4" w:rsidP="008433F4">
      <w:pPr>
        <w:autoSpaceDE w:val="0"/>
        <w:autoSpaceDN w:val="0"/>
        <w:adjustRightInd w:val="0"/>
        <w:spacing w:after="0" w:line="240" w:lineRule="auto"/>
      </w:pPr>
    </w:p>
    <w:p w:rsidR="008433F4" w:rsidRDefault="008433F4" w:rsidP="008433F4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</w:pPr>
      <w:r w:rsidRPr="002F4151">
        <w:t xml:space="preserve">Priori et al. (2013) </w:t>
      </w:r>
      <w:r w:rsidRPr="007C699C">
        <w:t xml:space="preserve">Executive summary: HRS/EHRA/APHRS expert consensus statement on the diagnosis and management of patients with inherited primary arrhythmia syndromes. </w:t>
      </w:r>
      <w:proofErr w:type="spellStart"/>
      <w:r w:rsidRPr="002F4151">
        <w:rPr>
          <w:i/>
        </w:rPr>
        <w:t>Europace</w:t>
      </w:r>
      <w:proofErr w:type="spellEnd"/>
      <w:r w:rsidRPr="002F4151">
        <w:t xml:space="preserve"> 15 (10):1389-406 (PMID: 23994779)</w:t>
      </w:r>
    </w:p>
    <w:p w:rsidR="008433F4" w:rsidRDefault="008433F4" w:rsidP="008433F4">
      <w:pPr>
        <w:widowControl w:val="0"/>
        <w:autoSpaceDE w:val="0"/>
        <w:autoSpaceDN w:val="0"/>
        <w:adjustRightInd w:val="0"/>
        <w:spacing w:after="0" w:line="240" w:lineRule="auto"/>
      </w:pPr>
    </w:p>
    <w:p w:rsidR="008433F4" w:rsidRDefault="008433F4" w:rsidP="008433F4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</w:pPr>
      <w:r w:rsidRPr="002F4151">
        <w:t xml:space="preserve">Priori et al. (2015) </w:t>
      </w:r>
      <w:r w:rsidRPr="007C699C">
        <w:t>ESC Guidelines for the management of patients with ventricular arrhythmias and the pre</w:t>
      </w:r>
      <w:r w:rsidRPr="002F4151">
        <w:t>vention of sudden cardiac death: The Task Force for the Management of Patients with Ventricular Arrhythmias and the Prevention of Sudden Cardiac Death of the European Society of Cardiology (ESC)</w:t>
      </w:r>
      <w:r w:rsidR="0049726E">
        <w:t xml:space="preserve"> </w:t>
      </w:r>
      <w:r w:rsidRPr="002F4151">
        <w:t xml:space="preserve">Endorsed by: Association for European </w:t>
      </w:r>
      <w:proofErr w:type="spellStart"/>
      <w:r w:rsidRPr="002F4151">
        <w:t>Paediatric</w:t>
      </w:r>
      <w:proofErr w:type="spellEnd"/>
      <w:r w:rsidRPr="002F4151">
        <w:t xml:space="preserve"> and Congenital Cardiology (AEPC). </w:t>
      </w:r>
      <w:proofErr w:type="spellStart"/>
      <w:r w:rsidRPr="002F4151">
        <w:rPr>
          <w:i/>
        </w:rPr>
        <w:t>Europace</w:t>
      </w:r>
      <w:proofErr w:type="spellEnd"/>
      <w:r w:rsidRPr="002F4151">
        <w:rPr>
          <w:i/>
        </w:rPr>
        <w:t xml:space="preserve"> </w:t>
      </w:r>
      <w:r w:rsidRPr="002F4151">
        <w:t>17 (11):1601-87 (PMID: 26318695)</w:t>
      </w:r>
    </w:p>
    <w:p w:rsidR="008433F4" w:rsidRDefault="008433F4" w:rsidP="008433F4">
      <w:pPr>
        <w:widowControl w:val="0"/>
        <w:autoSpaceDE w:val="0"/>
        <w:autoSpaceDN w:val="0"/>
        <w:adjustRightInd w:val="0"/>
        <w:spacing w:after="0" w:line="240" w:lineRule="auto"/>
      </w:pPr>
    </w:p>
    <w:p w:rsidR="008433F4" w:rsidRDefault="008433F4" w:rsidP="008433F4">
      <w:pPr>
        <w:numPr>
          <w:ilvl w:val="0"/>
          <w:numId w:val="11"/>
        </w:numPr>
      </w:pPr>
      <w:r w:rsidRPr="00CD2F27">
        <w:t xml:space="preserve">Ackerman et al. (2011) HRS/EHRA expert consensus statement on the state of genetic testing for the </w:t>
      </w:r>
      <w:proofErr w:type="spellStart"/>
      <w:r w:rsidRPr="00CD2F27">
        <w:t>channelopathies</w:t>
      </w:r>
      <w:proofErr w:type="spellEnd"/>
      <w:r w:rsidRPr="00CD2F27">
        <w:t xml:space="preserve"> and cardiomyopathies this document was developed as a partnership between the Heart Rhythm Society (HRS) and the European Heart Rhythm Association (EHRA). Heart Rhythm : The Official Journal Of The Heart Rhythm Society 8 (8):1308-39 (PMID: 21787999)</w:t>
      </w:r>
    </w:p>
    <w:p w:rsidR="00293F12" w:rsidRDefault="00293F12" w:rsidP="00293F12">
      <w:pPr>
        <w:pStyle w:val="ListParagraph"/>
      </w:pPr>
    </w:p>
    <w:p w:rsidR="00293F12" w:rsidRPr="00293F12" w:rsidRDefault="00293F12" w:rsidP="00293F12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>
        <w:lastRenderedPageBreak/>
        <w:t xml:space="preserve">Epstein et al. (2013) 2012 ACCF/AHA/HRS focused update incorporated into the ACCF/AHA/HRS 2008 guidelines for device-based therapy of cardiac rhythm abnormalities: a report of the American College of Cardiology Foundation/American Heart Association Task Force on Practice Guidelines and the Heart Rhythm Society. Journal </w:t>
      </w:r>
      <w:proofErr w:type="gramStart"/>
      <w:r>
        <w:t>Of</w:t>
      </w:r>
      <w:proofErr w:type="gramEnd"/>
      <w:r>
        <w:t xml:space="preserve"> The American College Of Cardiology. J. Am. Coll. </w:t>
      </w:r>
      <w:proofErr w:type="spellStart"/>
      <w:r>
        <w:t>Cardiol</w:t>
      </w:r>
      <w:proofErr w:type="spellEnd"/>
      <w:r>
        <w:t>. 61 (3):e6-75 (PMID: 23265327)</w:t>
      </w:r>
    </w:p>
    <w:p w:rsidR="008433F4" w:rsidRPr="006A1F30" w:rsidRDefault="008433F4" w:rsidP="008433F4">
      <w:pPr>
        <w:pStyle w:val="ListParagraph"/>
      </w:pPr>
    </w:p>
    <w:p w:rsidR="008433F4" w:rsidRPr="00454799" w:rsidRDefault="008433F4" w:rsidP="00454799">
      <w:pPr>
        <w:rPr>
          <w:sz w:val="18"/>
          <w:szCs w:val="18"/>
        </w:rPr>
      </w:pPr>
    </w:p>
    <w:sectPr w:rsidR="008433F4" w:rsidRPr="00454799" w:rsidSect="00AB2F4A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4A79A9"/>
    <w:multiLevelType w:val="hybridMultilevel"/>
    <w:tmpl w:val="251C19B4"/>
    <w:lvl w:ilvl="0" w:tplc="2E16868C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836B55"/>
    <w:multiLevelType w:val="hybridMultilevel"/>
    <w:tmpl w:val="D2E08D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406FFE"/>
    <w:multiLevelType w:val="hybridMultilevel"/>
    <w:tmpl w:val="767E65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927BFC"/>
    <w:multiLevelType w:val="hybridMultilevel"/>
    <w:tmpl w:val="6E9E1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F8269C"/>
    <w:multiLevelType w:val="hybridMultilevel"/>
    <w:tmpl w:val="F2181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094533"/>
    <w:multiLevelType w:val="hybridMultilevel"/>
    <w:tmpl w:val="AFB428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FEF3C70"/>
    <w:multiLevelType w:val="hybridMultilevel"/>
    <w:tmpl w:val="B90ED2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12427B"/>
    <w:multiLevelType w:val="hybridMultilevel"/>
    <w:tmpl w:val="71BA63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A1373E"/>
    <w:multiLevelType w:val="hybridMultilevel"/>
    <w:tmpl w:val="279632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5E084A"/>
    <w:multiLevelType w:val="hybridMultilevel"/>
    <w:tmpl w:val="042A15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A07767"/>
    <w:multiLevelType w:val="hybridMultilevel"/>
    <w:tmpl w:val="0AD84C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5"/>
  </w:num>
  <w:num w:numId="5">
    <w:abstractNumId w:val="4"/>
  </w:num>
  <w:num w:numId="6">
    <w:abstractNumId w:val="10"/>
  </w:num>
  <w:num w:numId="7">
    <w:abstractNumId w:val="3"/>
  </w:num>
  <w:num w:numId="8">
    <w:abstractNumId w:val="0"/>
  </w:num>
  <w:num w:numId="9">
    <w:abstractNumId w:val="8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s-US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EA6"/>
    <w:rsid w:val="000B50A3"/>
    <w:rsid w:val="000D05E6"/>
    <w:rsid w:val="000E13FB"/>
    <w:rsid w:val="001109B6"/>
    <w:rsid w:val="00150F55"/>
    <w:rsid w:val="001A1A16"/>
    <w:rsid w:val="00205DB4"/>
    <w:rsid w:val="002414B7"/>
    <w:rsid w:val="00253146"/>
    <w:rsid w:val="00293F12"/>
    <w:rsid w:val="002A7478"/>
    <w:rsid w:val="002D0B92"/>
    <w:rsid w:val="00301F9D"/>
    <w:rsid w:val="00342070"/>
    <w:rsid w:val="003D0EA6"/>
    <w:rsid w:val="003E2CA8"/>
    <w:rsid w:val="00433DFB"/>
    <w:rsid w:val="00454799"/>
    <w:rsid w:val="00465837"/>
    <w:rsid w:val="00471811"/>
    <w:rsid w:val="0049726E"/>
    <w:rsid w:val="004978D4"/>
    <w:rsid w:val="00500DCC"/>
    <w:rsid w:val="00535623"/>
    <w:rsid w:val="00543EEA"/>
    <w:rsid w:val="005B76FB"/>
    <w:rsid w:val="006337EC"/>
    <w:rsid w:val="0064562A"/>
    <w:rsid w:val="00652804"/>
    <w:rsid w:val="00653661"/>
    <w:rsid w:val="0071491F"/>
    <w:rsid w:val="0073022E"/>
    <w:rsid w:val="0074159D"/>
    <w:rsid w:val="00776731"/>
    <w:rsid w:val="008433F4"/>
    <w:rsid w:val="00855940"/>
    <w:rsid w:val="008569AB"/>
    <w:rsid w:val="008706C4"/>
    <w:rsid w:val="00887B41"/>
    <w:rsid w:val="008E7C39"/>
    <w:rsid w:val="00900219"/>
    <w:rsid w:val="00921AF4"/>
    <w:rsid w:val="00AB2F4A"/>
    <w:rsid w:val="00B27690"/>
    <w:rsid w:val="00B374A4"/>
    <w:rsid w:val="00B82599"/>
    <w:rsid w:val="00BE244D"/>
    <w:rsid w:val="00C247D1"/>
    <w:rsid w:val="00CC405F"/>
    <w:rsid w:val="00D1474B"/>
    <w:rsid w:val="00D1658E"/>
    <w:rsid w:val="00D17422"/>
    <w:rsid w:val="00D66DD8"/>
    <w:rsid w:val="00DB3B6E"/>
    <w:rsid w:val="00DB690F"/>
    <w:rsid w:val="00DE6040"/>
    <w:rsid w:val="00E04C9D"/>
    <w:rsid w:val="00ED14F6"/>
    <w:rsid w:val="00F1597A"/>
    <w:rsid w:val="00F339A7"/>
    <w:rsid w:val="00F74480"/>
    <w:rsid w:val="00F9401A"/>
    <w:rsid w:val="00FB3BE6"/>
    <w:rsid w:val="00FB6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B095E7-3817-4318-B43D-24CE7CCFE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D0EA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5366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A74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747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B50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50A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50A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50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50A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66D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433F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4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09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93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cbi.nlm.nih.gov/books/NBK1517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1194</Words>
  <Characters>6810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BioReference Laboratories Inc.</Company>
  <LinksUpToDate>false</LinksUpToDate>
  <CharactersWithSpaces>7989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Klein</dc:creator>
  <cp:keywords/>
  <dc:description/>
  <cp:lastModifiedBy>Raymond Jubela</cp:lastModifiedBy>
  <cp:revision>2</cp:revision>
  <dcterms:created xsi:type="dcterms:W3CDTF">2019-11-11T22:21:00Z</dcterms:created>
  <dcterms:modified xsi:type="dcterms:W3CDTF">2019-11-11T22:21:00Z</dcterms:modified>
</cp:coreProperties>
</file>